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3d3d01f3d44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1913</w:t>
      </w:r>
    </w:p>
    <w:p>
      <w:pPr>
        <w:jc w:val="center"/>
        <w:spacing w:before="480" w:after="0" w:line="240"/>
      </w:pPr>
      <w:r>
        <w:t xml:space="preserve">Chapter </w:t>
      </w:r>
      <w:r>
        <w:rPr/>
        <w:t xml:space="preserve">133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OCCUPATIONAL DISEASE PRESUMPTIONS--VARIOUS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89</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1913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Doglio, Sells, Bergquist, Griffey, Peterson, Reeves, Lovick, Stonier, Orwall, Irwin, Appleton, Dolan, Leavitt, Ortiz-Self, Shewmake, Stanford, Valdez, Goodman, Pollet, Macri, Santos, Lekanoff, Ormsby, Tharinger, Young, and Davis</w:t>
      </w:r>
    </w:p>
    <w:p/>
    <w:p>
      <w:r>
        <w:rPr>
          <w:t xml:space="preserve">Read first time 02/06/19.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extending the presumption to certain publicly employed firefighters and investigators and law enforcement, addressing the qualifying medical examination, and creating an advisory committee;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2018 c 264 s 3 are each amended to read as follows:</w:t>
      </w:r>
    </w:p>
    <w:p>
      <w:pPr>
        <w:spacing w:before="0" w:after="0" w:line="408" w:lineRule="exact"/>
        <w:ind w:left="0" w:right="0" w:firstLine="576"/>
        <w:jc w:val="left"/>
      </w:pPr>
      <w:r>
        <w:rPr/>
        <w:t xml:space="preserve">(1)(a) In the case of firefighters as defined in RCW 41.26.030</w:t>
      </w:r>
      <w:r>
        <w:t>((</w:t>
      </w:r>
      <w:r>
        <w:rPr>
          <w:strike/>
        </w:rPr>
        <w:t xml:space="preserve">(16)</w:t>
      </w:r>
      <w:r>
        <w:t>))</w:t>
      </w:r>
      <w:r>
        <w:rPr/>
        <w:t xml:space="preserve"> </w:t>
      </w:r>
      <w:r>
        <w:rPr>
          <w:u w:val="single"/>
        </w:rPr>
        <w:t xml:space="preserve">(17)</w:t>
      </w:r>
      <w:r>
        <w:rPr/>
        <w:t xml:space="preserve"> (a), (b), </w:t>
      </w:r>
      <w:r>
        <w:t>((</w:t>
      </w:r>
      <w:r>
        <w:rPr>
          <w:strike/>
        </w:rPr>
        <w:t xml:space="preserve">and</w:t>
      </w:r>
      <w:r>
        <w:t>))</w:t>
      </w:r>
      <w:r>
        <w:rPr/>
        <w:t xml:space="preserve"> (c)</w:t>
      </w:r>
      <w:r>
        <w:rPr>
          <w:u w:val="single"/>
        </w:rPr>
        <w:t xml:space="preserve">, and (h)</w:t>
      </w:r>
      <w:r>
        <w:rPr/>
        <w:t xml:space="preserve"> who are covered under this title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(i) Respiratory disease; (ii) any heart problems, experienced within seventy-two hours of exposure to smoke, fumes, or toxic substances, or experienced within twenty-four hours of strenuous physical exertion due to firefighting activities; (iii) cancer; and (iv) infectious diseases are occupational diseases under RCW 51.08.140.</w:t>
      </w:r>
    </w:p>
    <w:p>
      <w:pPr>
        <w:spacing w:before="0" w:after="0" w:line="408" w:lineRule="exact"/>
        <w:ind w:left="0" w:right="0" w:firstLine="576"/>
        <w:jc w:val="left"/>
      </w:pPr>
      <w:r>
        <w:rPr/>
        <w:t xml:space="preserve">(b) In the case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t xml:space="preserve">(c) </w:t>
      </w:r>
      <w:r>
        <w:rPr>
          <w:u w:val="single"/>
        </w:rPr>
        <w:t xml:space="preserve">In the case of law enforcement officers as defined in RCW 41.26.030(19) (b), (c), and (e) who are covered under Title 51 RCW, there shall exist a prima facie presumption that: (i) Any heart problems,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(d)</w:t>
      </w:r>
      <w:r>
        <w:rPr/>
        <w:t xml:space="preserve"> This presumption of occupational disease established in (a) </w:t>
      </w:r>
      <w:r>
        <w:t>((</w:t>
      </w:r>
      <w:r>
        <w:rPr>
          <w:strike/>
        </w:rPr>
        <w:t xml:space="preserve">and</w:t>
      </w:r>
      <w:r>
        <w:t>))</w:t>
      </w:r>
      <w:r>
        <w:rPr>
          <w:u w:val="single"/>
        </w:rPr>
        <w:t xml:space="preserve">,</w:t>
      </w:r>
      <w:r>
        <w:rPr/>
        <w:t xml:space="preserve"> (b)</w:t>
      </w:r>
      <w:r>
        <w:rPr>
          <w:u w:val="single"/>
        </w:rPr>
        <w:t xml:space="preserve">, and (c)</w:t>
      </w:r>
      <w:r>
        <w:rPr/>
        <w:t xml:space="preserve"> of this subsection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(1)(a)(iii)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W</w:t>
      </w:r>
      <w:r>
        <w:rPr/>
        <w:t xml:space="preserve">as given a qualifying medical examination upon becoming a firefighter </w:t>
      </w:r>
      <w:r>
        <w:rPr>
          <w:u w:val="single"/>
        </w:rPr>
        <w:t xml:space="preserve">or fire investigator</w:t>
      </w:r>
      <w:r>
        <w:rPr/>
        <w:t xml:space="preserve"> that showed no evidence of cancer</w:t>
      </w:r>
      <w:r>
        <w:rPr>
          <w:u w:val="single"/>
        </w:rPr>
        <w:t xml:space="preserve">; or</w:t>
      </w:r>
    </w:p>
    <w:p>
      <w:pPr>
        <w:spacing w:before="0" w:after="0" w:line="408" w:lineRule="exact"/>
        <w:ind w:left="0" w:right="0" w:firstLine="576"/>
        <w:jc w:val="left"/>
      </w:pPr>
      <w:r>
        <w:rPr>
          <w:u w:val="single"/>
        </w:rPr>
        <w:t xml:space="preserve">(B)(I) For a firefighter or fire investigator who became a firefighter or fire investigator on or after the effective date of this section, the employer did not provide a qualifying medical examination upon becoming a firefighter or fire investigator; or</w:t>
      </w:r>
    </w:p>
    <w:p>
      <w:pPr>
        <w:spacing w:before="0" w:after="0" w:line="408" w:lineRule="exact"/>
        <w:ind w:left="0" w:right="0" w:firstLine="576"/>
        <w:jc w:val="left"/>
      </w:pPr>
      <w:r>
        <w:rPr>
          <w:u w:val="single"/>
        </w:rPr>
        <w:t xml:space="preserve">(II) For a firefighter or fire investigator who became a firefighter or fire investigator before the effective date of this section, the employer did not provide a qualifying medical examination upon becoming a firefighter or fire investigator and the employer provides a qualifying medical examination on or before July 1, 2020. If a firefighter or fire investigator described in this subsection (3)(a)(ii)(B)(II) did not receive a qualifying medical examination before July 1, 2020, or is diagnosed with a cancer listed in (b) of this subsection at the time of the qualifying medical examination under this subsection (3)(a)(ii)(B)(II) and otherwise meets the requirements of this section, the presumption established in subsection (1)(a)(iii) of this section applies</w:t>
      </w:r>
      <w:r>
        <w:rPr/>
        <w:t xml:space="preserve">. </w:t>
      </w:r>
      <w:r>
        <w:t>((</w:t>
      </w:r>
      <w:r>
        <w:rPr>
          <w:strike/>
        </w:rPr>
        <w:t xml:space="preserve">The presumption within subsection (1)(a)(iii) of this section shall only apply to</w:t>
      </w:r>
      <w:r>
        <w:t>))</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stomach cancer, nonmelanoma skin cancer, breast cancer in women, and cervical cancer</w:t>
      </w:r>
      <w:r>
        <w:rPr/>
        <w:t xml:space="preserve">.</w:t>
      </w:r>
    </w:p>
    <w:p>
      <w:pPr>
        <w:spacing w:before="0" w:after="0" w:line="408" w:lineRule="exact"/>
        <w:ind w:left="0" w:right="0" w:firstLine="576"/>
        <w:jc w:val="left"/>
      </w:pPr>
      <w:r>
        <w:rPr/>
        <w:t xml:space="preserve">(4) The presumption established in subsection (1)(a)(iv) </w:t>
      </w:r>
      <w:r>
        <w:rPr>
          <w:u w:val="single"/>
        </w:rPr>
        <w:t xml:space="preserve">and (c)(ii)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The presumption established in subsection (1)(b) of this section only applies to active or former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have posttraumatic stress disorder that develops or manifests itself after the individual has served at least ten years.</w:t>
      </w:r>
    </w:p>
    <w:p>
      <w:pPr>
        <w:spacing w:before="0" w:after="0" w:line="408" w:lineRule="exact"/>
        <w:ind w:left="0" w:right="0" w:firstLine="576"/>
        <w:jc w:val="left"/>
      </w:pPr>
      <w:r>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t xml:space="preserve">(7)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(8)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(9)(a)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u w:val="single"/>
        </w:rPr>
        <w:t xml:space="preserve">(10)(a) The director must create an advisory committee on occupational disease presumptions. The purposes of the advisory committee are to review scientific evidence and to make recommendations to the legislature on additional diseases or disorders for inclusion under this section.</w:t>
      </w:r>
    </w:p>
    <w:p>
      <w:pPr>
        <w:spacing w:before="0" w:after="0" w:line="408" w:lineRule="exact"/>
        <w:ind w:left="0" w:right="0" w:firstLine="576"/>
        <w:jc w:val="left"/>
      </w:pPr>
      <w:r>
        <w:rPr>
          <w:u w:val="single"/>
        </w:rPr>
        <w:t xml:space="preserve">(b)(i) The advisory committee shall be composed of five voting members, appointed by the director as follows:</w:t>
      </w:r>
    </w:p>
    <w:p>
      <w:pPr>
        <w:spacing w:before="0" w:after="0" w:line="408" w:lineRule="exact"/>
        <w:ind w:left="0" w:right="0" w:firstLine="576"/>
        <w:jc w:val="left"/>
      </w:pPr>
      <w:r>
        <w:rPr>
          <w:u w:val="single"/>
        </w:rPr>
        <w:t xml:space="preserve">(A) Two epidemiologists;</w:t>
      </w:r>
    </w:p>
    <w:p>
      <w:pPr>
        <w:spacing w:before="0" w:after="0" w:line="408" w:lineRule="exact"/>
        <w:ind w:left="0" w:right="0" w:firstLine="576"/>
        <w:jc w:val="left"/>
      </w:pPr>
      <w:r>
        <w:rPr>
          <w:u w:val="single"/>
        </w:rPr>
        <w:t xml:space="preserve">(B) Two preventive medicine physicians; and</w:t>
      </w:r>
    </w:p>
    <w:p>
      <w:pPr>
        <w:spacing w:before="0" w:after="0" w:line="408" w:lineRule="exact"/>
        <w:ind w:left="0" w:right="0" w:firstLine="576"/>
        <w:jc w:val="left"/>
      </w:pPr>
      <w:r>
        <w:rPr>
          <w:u w:val="single"/>
        </w:rPr>
        <w:t xml:space="preserve">(C) One industrial hygienist.</w:t>
      </w:r>
    </w:p>
    <w:p>
      <w:pPr>
        <w:spacing w:before="0" w:after="0" w:line="408" w:lineRule="exact"/>
        <w:ind w:left="0" w:right="0" w:firstLine="576"/>
        <w:jc w:val="left"/>
      </w:pPr>
      <w:r>
        <w:rPr>
          <w:u w:val="single"/>
        </w:rPr>
        <w:t xml:space="preserve">(ii) The research director of the department's safety and health assessment and research for prevention program shall serve as the advisory committee nonvoting chair.</w:t>
      </w:r>
    </w:p>
    <w:p>
      <w:pPr>
        <w:spacing w:before="0" w:after="0" w:line="408" w:lineRule="exact"/>
        <w:ind w:left="0" w:right="0" w:firstLine="576"/>
        <w:jc w:val="left"/>
      </w:pPr>
      <w:r>
        <w:rPr>
          <w:u w:val="single"/>
        </w:rPr>
        <w:t xml:space="preserve">(iii) Members serve for a term of four years and may be reappointed. Members shall not be compensated for their work on the advisory committee. As a condition of appointment, voting members and the chair must have no past or current financial or personal conflicts of interest related to the advisory committee activities. Voting members of the advisory committee may not be current employees of the department.</w:t>
      </w:r>
    </w:p>
    <w:p>
      <w:pPr>
        <w:spacing w:before="0" w:after="0" w:line="408" w:lineRule="exact"/>
        <w:ind w:left="0" w:right="0" w:firstLine="576"/>
        <w:jc w:val="left"/>
      </w:pPr>
      <w:r>
        <w:rPr>
          <w:u w:val="single"/>
        </w:rPr>
        <w:t xml:space="preserve">(c) The chair or ranking member of the appropriate committee or committees of the legislature may initiate a request for the advisory committee to review scientific evidence and to make recommendations to the legislature on specific disorders or diseases, or specific occupations, for inclusion under this section by notifying the director.</w:t>
      </w:r>
    </w:p>
    <w:p>
      <w:pPr>
        <w:spacing w:before="0" w:after="0" w:line="408" w:lineRule="exact"/>
        <w:ind w:left="0" w:right="0" w:firstLine="576"/>
        <w:jc w:val="left"/>
      </w:pPr>
      <w:r>
        <w:rPr>
          <w:u w:val="single"/>
        </w:rPr>
        <w:t xml:space="preserve">(d) The process of developing an advisory committee recommendation must include a thorough review of the scientific literature on the disease or disorder, relevant exposures, and strength of the association between the specific occupations and the disease or disorder proposed for inclusion in this section. The advisory committee must give consideration to the relevance, quality, and quantity of the literature and data. The advisory committee may consult nationally recognized experts or subject matter experts in developing its recommendations. The advisory committee must provide a recommendation to the legislature within the earlier of one hundred eighty days of the request or when the advisory committee reaches a consensus recommendation.</w:t>
      </w:r>
    </w:p>
    <w:p>
      <w:pPr>
        <w:spacing w:before="0" w:after="0" w:line="408" w:lineRule="exact"/>
        <w:ind w:left="0" w:right="0" w:firstLine="576"/>
        <w:jc w:val="left"/>
      </w:pPr>
      <w:r>
        <w:rPr>
          <w:u w:val="single"/>
        </w:rPr>
        <w:t xml:space="preserve">(e) Each recommendation must include a written description of the scientific evidence and supporting information relied upon to assess the causal relationship between the occupation and health condition proposed for inclusion under this section. Estimates of the number of Washington workers at risk, the prevalence of the disease or disorder, and the medical treatment and disability costs should, if available, be included with the recommendation.</w:t>
      </w:r>
    </w:p>
    <w:p>
      <w:pPr>
        <w:spacing w:before="0" w:after="0" w:line="408" w:lineRule="exact"/>
        <w:ind w:left="0" w:right="0" w:firstLine="576"/>
        <w:jc w:val="left"/>
      </w:pPr>
      <w:r>
        <w:rPr>
          <w:u w:val="single"/>
        </w:rPr>
        <w:t xml:space="preserve">(f) The recommendation must be made by a majority of advisory committee's voting members. Any member of the advisory committee may provide a written dissent as an appendix to the committee's recommendation.</w:t>
      </w:r>
    </w:p>
    <w:p>
      <w:pPr>
        <w:spacing w:before="0" w:after="0" w:line="408" w:lineRule="exact"/>
        <w:ind w:left="0" w:right="0" w:firstLine="576"/>
        <w:jc w:val="left"/>
      </w:pPr>
      <w:r>
        <w:rPr>
          <w:u w:val="single"/>
        </w:rPr>
        <w:t xml:space="preserve">(g) The department's safety and health assessment and research for prevention program shall provide organizational and scientific support to the advisory committee. Scientific support must include for consideration of the advisory committee preliminary written reviews of the scientific literature on the disease and disorder, relevant exposures, and strength of the association between the specific occupations and the health condition or disorders proposed for inclusion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98a33a5745d4496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b9f808eba4dd6" /><Relationship Type="http://schemas.openxmlformats.org/officeDocument/2006/relationships/footer" Target="/word/footer1.xml" Id="R98a33a5745d44962" /></Relationships>
</file>