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ffaf2cf79240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1973</w:t>
      </w:r>
    </w:p>
    <w:p>
      <w:pPr>
        <w:jc w:val="center"/>
        <w:spacing w:before="480" w:after="0" w:line="240"/>
      </w:pPr>
      <w:r>
        <w:t xml:space="preserve">Chapter </w:t>
      </w:r>
      <w:r>
        <w:rPr/>
        <w:t xml:space="preserve">176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DUAL ENROLLMENT SCHOLARSHIP PILOT PROGRAM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Paul, Pollet, Bergquist, Sells, and Riccelli)</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dual enrollment scholarship pilot program; amending RCW 28A.600.310; adding a new section to chapter 28B.76 RCW; and adding new sections to chapter 43.131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 and</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p>
    <w:p>
      <w:pPr>
        <w:spacing w:before="0" w:after="0" w:line="408" w:lineRule="exact"/>
        <w:ind w:left="0" w:right="0" w:firstLine="576"/>
        <w:jc w:val="left"/>
      </w:pPr>
      <w:r>
        <w:rPr/>
        <w:t xml:space="preserve">(b) An eligible student enrolled in a college in the high school program may receive a scholarship for tuition fees as set forth under RCW 28A.600.290(5)(a).</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w:t>
      </w:r>
      <w:r>
        <w:t>((</w:t>
      </w:r>
      <w:r>
        <w:rPr>
          <w:strike/>
        </w:rPr>
        <w:t xml:space="preserve">Each institution must establish a written policy for the determination of low-income students before offering the fee waiver.</w:t>
      </w:r>
      <w:r>
        <w:t>))</w:t>
      </w:r>
      <w:r>
        <w:rPr/>
        <w:t xml:space="preserve">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w:t>
      </w:r>
      <w:r>
        <w:rPr>
          <w:u w:val="single"/>
        </w:rPr>
        <w:t xml:space="preserve">(i)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u w:val="single"/>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u w:val="single"/>
        </w:rPr>
        <w:t xml:space="preserve">(c)</w:t>
      </w:r>
      <w:r>
        <w:rP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dual enrollment scholarship pilot program is terminated July 1, 2025,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Section 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92cea5bcfafe46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a81b4eaabd4c7f" /><Relationship Type="http://schemas.openxmlformats.org/officeDocument/2006/relationships/footer" Target="/word/footer1.xml" Id="R92cea5bcfafe4600" /></Relationships>
</file>