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2f8dfd9264b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2242</w:t>
      </w:r>
    </w:p>
    <w:p>
      <w:pPr>
        <w:jc w:val="center"/>
        <w:spacing w:before="480" w:after="0" w:line="240"/>
      </w:pPr>
      <w:r>
        <w:t xml:space="preserve">Chapter </w:t>
      </w:r>
      <w:r>
        <w:rPr/>
        <w:t xml:space="preserve">110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TRAVEL TRAILERS--MAXIMUM LENGTH</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2242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Wylie, Orcutt, Chapman, Bergquist, Dufault, Blake, Shewmake, Gildon, and Irwin</w:t>
      </w:r>
    </w:p>
    <w:p/>
    <w:p>
      <w:r>
        <w:rPr>
          <w:t xml:space="preserve">Prefiled 12/18/19.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travel trailers; and amending RCW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2018 c 105 s 1 are each amended to read as follows:</w:t>
      </w:r>
    </w:p>
    <w:p>
      <w:pPr>
        <w:spacing w:before="0" w:after="0" w:line="408" w:lineRule="exact"/>
        <w:ind w:left="0" w:right="0" w:firstLine="576"/>
        <w:jc w:val="left"/>
      </w:pPr>
      <w:r>
        <w:rPr/>
        <w:t xml:space="preserve">(1) It is unlawful for any person to operate upon the public highways of this state any vehicle having an overall length, with or without load, in excess of forty feet. This restriction does not apply to (a) a municipal transit vehicle, (b) auto stage, private carrier bus, school bus, </w:t>
      </w:r>
      <w:r>
        <w:rPr>
          <w:u w:val="single"/>
        </w:rPr>
        <w:t xml:space="preserve">travel trailer,</w:t>
      </w:r>
      <w:r>
        <w:rPr/>
        <w:t xml:space="preserve"> or motor home with an overall length not to exceed forty-six feet, (c) an articulated auto stage with an overall length not to exceed sixty-one feet, excluding a bike rack up to four feet in length, or (d) an auto recycling carrier up to forty-two feet in length manufactured prior to 2005.</w:t>
      </w:r>
    </w:p>
    <w:p>
      <w:pPr>
        <w:spacing w:before="0" w:after="0" w:line="408" w:lineRule="exact"/>
        <w:ind w:left="0" w:right="0" w:firstLine="576"/>
        <w:jc w:val="left"/>
      </w:pPr>
      <w:r>
        <w:rPr/>
        <w:t xml:space="preserve">(2)(a)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t xml:space="preserve">(3)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(4)(a) The length limitations under this section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(b) Excluded from the calculation of length under this section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c3c7917328054a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e33a362704764" /><Relationship Type="http://schemas.openxmlformats.org/officeDocument/2006/relationships/footer" Target="/word/footer1.xml" Id="Rc3c7917328054a64" /></Relationships>
</file>