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b5a953e0984c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2342</w:t>
      </w:r>
    </w:p>
    <w:p>
      <w:pPr>
        <w:jc w:val="center"/>
        <w:spacing w:before="480" w:after="0" w:line="240"/>
      </w:pPr>
      <w:r>
        <w:t xml:space="preserve">Chapter </w:t>
      </w:r>
      <w:r>
        <w:rPr/>
        <w:t xml:space="preserve">113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GROWTH MANAGEMENT ACT AND SHORELINE MANAGEMENT ACT--PLAN/PROGRAM UPDATE TIMING</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2, which becomes effective July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78</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Leavitt, Tharinger, Walen, Doglio, Pollet, and Appleton)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timing of comprehensive plan updates required by the growth management act with the timing of shoreline master program updates required by the shoreline management act; amending RCW 36.70A.130 and 90.58.080;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w:t>
      </w:r>
      <w:r>
        <w:t>((</w:t>
      </w:r>
      <w:r>
        <w:rPr>
          <w:strike/>
        </w:rPr>
        <w:t xml:space="preserve">, except that, until December 31, 2015, the program shall provide for consideration of amendments of an urban growth area in accordance with RCW 36.70A.1301 once every year</w:t>
      </w:r>
      <w:r>
        <w:t>))</w:t>
      </w:r>
      <w:r>
        <w:rPr/>
        <w:t xml:space="preserve">.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w:t>
      </w:r>
      <w:r>
        <w:t>((</w:t>
      </w:r>
      <w:r>
        <w:rPr>
          <w:strike/>
        </w:rPr>
        <w:t xml:space="preserve">subsection</w:t>
      </w:r>
      <w:r>
        <w:t>))</w:t>
      </w:r>
      <w:r>
        <w:rPr/>
        <w:t xml:space="preserve"> </w:t>
      </w:r>
      <w:r>
        <w:rPr>
          <w:u w:val="single"/>
        </w:rPr>
        <w:t xml:space="preserve">subsections (4) and</w:t>
      </w:r>
      <w:r>
        <w:rPr/>
        <w:t xml:space="preserve">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w:t>
      </w:r>
      <w:r>
        <w:t>((</w:t>
      </w:r>
      <w:r>
        <w:rPr>
          <w:strike/>
        </w:rPr>
        <w:t xml:space="preserve">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strike/>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strike/>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strike/>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strike/>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strike/>
        </w:rPr>
        <w:t xml:space="preserve">(5)</w:t>
      </w:r>
      <w:r>
        <w:t>))</w:t>
      </w:r>
      <w:r>
        <w:rPr/>
        <w:t xml:space="preserve"> Except as otherwise provided in subsections (6) and (8) of this section, </w:t>
      </w:r>
      <w:r>
        <w:t>((</w:t>
      </w:r>
      <w:r>
        <w:rPr>
          <w:strike/>
        </w:rPr>
        <w:t xml:space="preserve">following the review of comprehensive plans and development regulations required by subsection (4) of this section,</w:t>
      </w:r>
      <w:r>
        <w:t>))</w:t>
      </w:r>
      <w:r>
        <w:rPr/>
        <w:t xml:space="preserve">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w:t>
      </w:r>
      <w:r>
        <w:t>((</w:t>
      </w:r>
      <w:r>
        <w:rPr>
          <w:strike/>
        </w:rPr>
        <w:t xml:space="preserve">and every eight years thereafter,</w:t>
      </w:r>
      <w:r>
        <w:t>))</w:t>
      </w:r>
      <w:r>
        <w:rPr/>
        <w:t xml:space="preserve"> for King, Pierce, and Snohomish counties and the cities within those counties;</w:t>
      </w:r>
    </w:p>
    <w:p>
      <w:pPr>
        <w:spacing w:before="0" w:after="0" w:line="408" w:lineRule="exact"/>
        <w:ind w:left="0" w:right="0" w:firstLine="576"/>
        <w:jc w:val="left"/>
      </w:pPr>
      <w:r>
        <w:rPr/>
        <w:t xml:space="preserve">(b) On or before June 30, 2016, </w:t>
      </w:r>
      <w:r>
        <w:t>((</w:t>
      </w:r>
      <w:r>
        <w:rPr>
          <w:strike/>
        </w:rPr>
        <w:t xml:space="preserve">and every eight years thereafter,</w:t>
      </w:r>
      <w:r>
        <w:t>))</w:t>
      </w:r>
      <w:r>
        <w:rPr/>
        <w:t xml:space="preserve">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w:t>
      </w:r>
      <w:r>
        <w:t>((</w:t>
      </w:r>
      <w:r>
        <w:rPr>
          <w:strike/>
        </w:rPr>
        <w:t xml:space="preserve">and every eight years thereafter,</w:t>
      </w:r>
      <w:r>
        <w:t>))</w:t>
      </w:r>
      <w:r>
        <w:rPr/>
        <w:t xml:space="preserve">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w:t>
      </w:r>
      <w:r>
        <w:t>((</w:t>
      </w:r>
      <w:r>
        <w:rPr>
          <w:strike/>
        </w:rPr>
        <w:t xml:space="preserve">and every eight years thereafter,</w:t>
      </w:r>
      <w:r>
        <w:t>))</w:t>
      </w:r>
      <w:r>
        <w:rPr/>
        <w:t xml:space="preserve">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u w:val="single"/>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u w:val="single"/>
        </w:rPr>
        <w:t xml:space="preserve">(a) On or before June 30, 2024, and every eight years thereafter, for King, Kitsap, Pierce, and Snohomish counties and the cities within those counties;</w:t>
      </w:r>
    </w:p>
    <w:p>
      <w:pPr>
        <w:spacing w:before="0" w:after="0" w:line="408" w:lineRule="exact"/>
        <w:ind w:left="0" w:right="0" w:firstLine="576"/>
        <w:jc w:val="left"/>
      </w:pPr>
      <w:r>
        <w:rPr>
          <w:u w:val="single"/>
        </w:rPr>
        <w:t xml:space="preserve">(b)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rPr>
          <w:u w:val="single"/>
        </w:rPr>
        <w:t xml:space="preserve">(c)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u w:val="single"/>
        </w:rPr>
        <w:t xml:space="preserve">(d)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w:t>
      </w:r>
      <w:r>
        <w:t>((</w:t>
      </w:r>
      <w:r>
        <w:rPr>
          <w:strike/>
        </w:rPr>
        <w:t xml:space="preserve">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strike/>
        </w:rPr>
        <w:t xml:space="preserve">(e)</w:t>
      </w:r>
      <w:r>
        <w:t>))</w:t>
      </w:r>
      <w:r>
        <w:rPr/>
        <w:t xml:space="preserve"> A county that is subject to a deadline established in subsection (5)</w:t>
      </w:r>
      <w:r>
        <w:t>((</w:t>
      </w:r>
      <w:r>
        <w:rPr>
          <w:strike/>
        </w:rPr>
        <w:t xml:space="preserve">(b) through (d)</w:t>
      </w:r>
      <w:r>
        <w:t>))</w:t>
      </w:r>
      <w:r>
        <w:rPr/>
        <w:t xml:space="preserve"> </w:t>
      </w:r>
      <w:r>
        <w:rPr>
          <w:u w:val="single"/>
        </w:rPr>
        <w:t xml:space="preserve">(a)(ii) through (iv)</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A city that is subject to a deadline established in subsection (5)</w:t>
      </w:r>
      <w:r>
        <w:t>((</w:t>
      </w:r>
      <w:r>
        <w:rPr>
          <w:strike/>
        </w:rPr>
        <w:t xml:space="preserve">(b) through (d)</w:t>
      </w:r>
      <w:r>
        <w:t>))</w:t>
      </w:r>
      <w:r>
        <w:rPr/>
        <w:t xml:space="preserve"> </w:t>
      </w:r>
      <w:r>
        <w:rPr>
          <w:u w:val="single"/>
        </w:rPr>
        <w:t xml:space="preserve">(a)(ii) through (iv)</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 </w:t>
      </w:r>
      <w:r>
        <w:rPr>
          <w:u w:val="single"/>
        </w:rPr>
        <w:t xml:space="preserve">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r>
        <w:t>((</w:t>
      </w:r>
      <w:r>
        <w:rPr>
          <w:strike/>
        </w:rPr>
        <w:t xml:space="preserve">; or</w:t>
      </w:r>
    </w:p>
    <w:p>
      <w:pPr>
        <w:spacing w:before="0" w:after="0" w:line="408" w:lineRule="exact"/>
        <w:ind w:left="0" w:right="0" w:firstLine="576"/>
        <w:jc w:val="left"/>
      </w:pPr>
      <w:r>
        <w:rPr>
          <w:strike/>
        </w:rPr>
        <w:t xml:space="preserve">(iii) Complying with the extension provisions of subsection (6)(b), (c), or (d) of this section</w:t>
      </w:r>
      <w:r>
        <w:t>))</w:t>
      </w:r>
      <w:r>
        <w:rPr/>
        <w:t xml:space="preserve">.</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eight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2019</w:t>
      </w:r>
      <w:r>
        <w:t>))</w:t>
      </w:r>
      <w:r>
        <w:rPr/>
        <w:t xml:space="preserve"> </w:t>
      </w:r>
      <w:r>
        <w:rPr>
          <w:u w:val="single"/>
        </w:rPr>
        <w:t xml:space="preserve">2028</w:t>
      </w:r>
      <w:r>
        <w:rPr/>
        <w:t xml:space="preserve">, and every eight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2020</w:t>
      </w:r>
      <w:r>
        <w:t>))</w:t>
      </w:r>
      <w:r>
        <w:rPr/>
        <w:t xml:space="preserve"> </w:t>
      </w:r>
      <w:r>
        <w:rPr>
          <w:u w:val="single"/>
        </w:rPr>
        <w:t xml:space="preserve">2029</w:t>
      </w:r>
      <w:r>
        <w:rPr/>
        <w:t xml:space="preserve">, and every eight years thereafter, for Clallam, Clark, Island, Jefferson, </w:t>
      </w:r>
      <w:r>
        <w:t>((</w:t>
      </w:r>
      <w:r>
        <w:rPr>
          <w:strike/>
        </w:rPr>
        <w:t xml:space="preserve">Kitsap</w:t>
      </w:r>
      <w:r>
        <w:t>))</w:t>
      </w:r>
      <w:r>
        <w:rPr/>
        <w:t xml:space="preserve"> </w:t>
      </w:r>
      <w:r>
        <w:rPr>
          <w:u w:val="single"/>
        </w:rPr>
        <w:t xml:space="preserve">Lewis</w:t>
      </w:r>
      <w:r>
        <w:rPr/>
        <w:t xml:space="preserve">,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2021</w:t>
      </w:r>
      <w:r>
        <w:t>))</w:t>
      </w:r>
      <w:r>
        <w:rPr/>
        <w:t xml:space="preserve"> </w:t>
      </w:r>
      <w:r>
        <w:rPr>
          <w:u w:val="single"/>
        </w:rPr>
        <w:t xml:space="preserve">2030</w:t>
      </w:r>
      <w:r>
        <w:rPr/>
        <w:t xml:space="preserve">, and every eight years thereafter, for Benton, Chelan, Cowlitz, Douglas, </w:t>
      </w:r>
      <w:r>
        <w:t>((</w:t>
      </w:r>
      <w:r>
        <w:rPr>
          <w:strike/>
        </w:rPr>
        <w:t xml:space="preserve">Grant,</w:t>
      </w:r>
      <w:r>
        <w:t>))</w:t>
      </w:r>
      <w:r>
        <w:rPr/>
        <w:t xml:space="preserve"> </w:t>
      </w:r>
      <w:r>
        <w:rPr>
          <w:u w:val="single"/>
        </w:rPr>
        <w:t xml:space="preserve">Franklin,</w:t>
      </w:r>
      <w:r>
        <w:rPr/>
        <w:t xml:space="preserve"> Kittitas, </w:t>
      </w:r>
      <w:r>
        <w:t>((</w:t>
      </w:r>
      <w:r>
        <w:rPr>
          <w:strike/>
        </w:rPr>
        <w:t xml:space="preserve">Lewis,</w:t>
      </w:r>
      <w:r>
        <w:t>))</w:t>
      </w:r>
      <w:r>
        <w:rPr/>
        <w:t xml:space="preserve"> Skamania, Spokane, </w:t>
      </w:r>
      <w:r>
        <w:rPr>
          <w:u w:val="single"/>
        </w:rPr>
        <w:t xml:space="preserve">Walla Walla,</w:t>
      </w:r>
      <w:r>
        <w:rPr/>
        <w:t xml:space="preserve">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2022</w:t>
      </w:r>
      <w:r>
        <w:t>))</w:t>
      </w:r>
      <w:r>
        <w:rPr/>
        <w:t xml:space="preserve"> </w:t>
      </w:r>
      <w:r>
        <w:rPr>
          <w:u w:val="single"/>
        </w:rPr>
        <w:t xml:space="preserve">2031</w:t>
      </w:r>
      <w:r>
        <w:rPr/>
        <w:t xml:space="preserve">, and every eight years thereafter, for Adams, Asotin, Columbia, Ferry, </w:t>
      </w:r>
      <w:r>
        <w:t>((</w:t>
      </w:r>
      <w:r>
        <w:rPr>
          <w:strike/>
        </w:rPr>
        <w:t xml:space="preserve">Franklin,</w:t>
      </w:r>
      <w:r>
        <w:t>))</w:t>
      </w:r>
      <w:r>
        <w:rPr/>
        <w:t xml:space="preserve"> Garfield, Grant, Grays Harbor, Klickitat, Lincoln, Okanogan, Pacific, Pend Oreille, Stevens, Wahkiakum, </w:t>
      </w:r>
      <w:r>
        <w:t>((</w:t>
      </w:r>
      <w:r>
        <w:rPr>
          <w:strike/>
        </w:rPr>
        <w:t xml:space="preserve">Walla Walla,</w:t>
      </w:r>
      <w:r>
        <w:t>))</w:t>
      </w:r>
      <w:r>
        <w:rPr/>
        <w:t xml:space="preserve"> and Whitman counties and the cities within those counties.</w:t>
      </w:r>
    </w:p>
    <w:p>
      <w:pPr>
        <w:spacing w:before="0" w:after="0" w:line="408" w:lineRule="exact"/>
        <w:ind w:left="0" w:right="0" w:firstLine="576"/>
        <w:jc w:val="left"/>
      </w:pPr>
      <w:r>
        <w:rPr/>
        <w:t xml:space="preserve">(5)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the following shall apply:</w:t>
      </w:r>
    </w:p>
    <w:p>
      <w:pPr>
        <w:spacing w:before="0" w:after="0" w:line="408" w:lineRule="exact"/>
        <w:ind w:left="0" w:right="0" w:firstLine="576"/>
        <w:jc w:val="left"/>
      </w:pPr>
      <w:r>
        <w:rPr/>
        <w:t xml:space="preserve">(a) Grants to local governments for </w:t>
      </w:r>
      <w:r>
        <w:t>((</w:t>
      </w:r>
      <w:r>
        <w:rPr>
          <w:strike/>
        </w:rPr>
        <w:t xml:space="preserve">developing and amending</w:t>
      </w:r>
      <w:r>
        <w:t>))</w:t>
      </w:r>
      <w:r>
        <w:rPr/>
        <w:t xml:space="preserve"> </w:t>
      </w:r>
      <w:r>
        <w:rPr>
          <w:u w:val="single"/>
        </w:rPr>
        <w:t xml:space="preserve">reviewing</w:t>
      </w:r>
      <w:r>
        <w:rPr/>
        <w:t xml:space="preserve"> master programs pursuant to the schedule established by this section shall be provided at least two years before the adoption dates specified in subsection </w:t>
      </w:r>
      <w:r>
        <w:t>((</w:t>
      </w:r>
      <w:r>
        <w:rPr>
          <w:strike/>
        </w:rPr>
        <w:t xml:space="preserve">(2)</w:t>
      </w:r>
      <w:r>
        <w:t>))</w:t>
      </w:r>
      <w:r>
        <w:rPr/>
        <w:t xml:space="preserve"> </w:t>
      </w:r>
      <w:r>
        <w:rPr>
          <w:u w:val="single"/>
        </w:rPr>
        <w:t xml:space="preserve">(4)</w:t>
      </w:r>
      <w:r>
        <w:rPr/>
        <w:t xml:space="preserve">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w:t>
      </w:r>
      <w:r>
        <w:t>((</w:t>
      </w:r>
      <w:r>
        <w:rPr>
          <w:strike/>
        </w:rPr>
        <w:t xml:space="preserve">(2)</w:t>
      </w:r>
      <w:r>
        <w:t>))</w:t>
      </w:r>
      <w:r>
        <w:rPr/>
        <w:t xml:space="preserve"> </w:t>
      </w:r>
      <w:r>
        <w:rPr>
          <w:u w:val="single"/>
        </w:rPr>
        <w:t xml:space="preserve">(4)</w:t>
      </w:r>
      <w:r>
        <w:rPr/>
        <w:t xml:space="preserve"> of this section. Any local government that applies for but does not receive funding to comply with the provisions of subsection </w:t>
      </w:r>
      <w:r>
        <w:t>((</w:t>
      </w:r>
      <w:r>
        <w:rPr>
          <w:strike/>
        </w:rPr>
        <w:t xml:space="preserve">(2)</w:t>
      </w:r>
      <w:r>
        <w:t>))</w:t>
      </w:r>
      <w:r>
        <w:rPr/>
        <w:t xml:space="preserve"> </w:t>
      </w:r>
      <w:r>
        <w:rPr>
          <w:u w:val="single"/>
        </w:rPr>
        <w:t xml:space="preserve">(4)</w:t>
      </w:r>
      <w:r>
        <w:rPr/>
        <w:t xml:space="preserve">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w:t>
      </w:r>
      <w:r>
        <w:t>((</w:t>
      </w:r>
      <w:r>
        <w:rPr>
          <w:strike/>
        </w:rPr>
        <w:t xml:space="preserve">development or amendment</w:t>
      </w:r>
      <w:r>
        <w:t>))</w:t>
      </w:r>
      <w:r>
        <w:rPr/>
        <w:t xml:space="preserve"> </w:t>
      </w:r>
      <w:r>
        <w:rPr>
          <w:u w:val="single"/>
        </w:rPr>
        <w:t xml:space="preserve">periodic review</w:t>
      </w:r>
      <w:r>
        <w:rPr/>
        <w:t xml:space="preserve">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ced708de554b40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d02bb63ef47bf" /><Relationship Type="http://schemas.openxmlformats.org/officeDocument/2006/relationships/footer" Target="/word/footer1.xml" Id="Rced708de554b40a6" /></Relationships>
</file>