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76bf7444f49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2416</w:t>
      </w:r>
    </w:p>
    <w:p>
      <w:pPr>
        <w:jc w:val="center"/>
        <w:spacing w:before="480" w:after="0" w:line="240"/>
      </w:pPr>
      <w:r>
        <w:t xml:space="preserve">Chapter </w:t>
      </w:r>
      <w:r>
        <w:rPr/>
        <w:t xml:space="preserve">81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FORENSIC MENTAL HEALTH SERVICES--DISCLOSURE OF INFORMATION AND RECORDS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2416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Kilduff, Chopp, Leavitt, Macri, Cody, Stonier, Ormsby, and Pollet</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of information and records related to forensic mental health services; and amending RCW 10.77.210 and 70.02.205.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210</w:t>
      </w:r>
      <w:r>
        <w:rPr/>
        <w:t xml:space="preserve"> and 1998 c 297 s 45 are each amended to read as follows:</w:t>
      </w:r>
    </w:p>
    <w:p>
      <w:pPr>
        <w:spacing w:before="0" w:after="0" w:line="408" w:lineRule="exact"/>
        <w:ind w:left="0" w:right="0" w:firstLine="576"/>
        <w:jc w:val="left"/>
      </w:pPr>
      <w:r>
        <w:rPr/>
        <w:t xml:space="preserve">(1) Any person involuntarily detained, hospitalized, or committed pursuant to the provisions of this chapter shall have the right to adequate care and individualized treatment. The person who has custody of the patient or is in charge of treatment shall keep records detailing all medical, expert, and professional care and treatment received by a committed person, and shall keep copies of all reports of periodic examinations of the patient that have been filed with the secretary pursuant to this chapter. Except as provided in RCW 10.77.205 and 4.24.550 regarding the release of information concerning insane offenders who are acquitted of sex offenses and subsequently committed pursuant to this chapter, </w:t>
      </w:r>
      <w:r>
        <w:rPr>
          <w:u w:val="single"/>
        </w:rPr>
        <w:t xml:space="preserve">and disclosures of health care information as authorized under chapter 70.02 RCW,</w:t>
      </w:r>
      <w:r>
        <w:rPr/>
        <w:t xml:space="preserve"> all records and reports made pursuant to this chapter, shall be made available only upon request, to the committed person, to his or her attorney, to his or her personal physician, to the supervising community corrections officer, to the prosecuting attorney, to the court, to the protection and advocacy agency, or other expert or professional persons who, upon proper showing, demonstrates a need for access to such records. All records and reports made pursuant to this chapter shall also be made available, upon request, to the department of corrections or the indeterminate sentence review board if the person was on parole, probation, or community supervision at the time of detention, hospitalization, or commitment or the person is subsequently convicted for the crime for which he or she was detained, hospitalized, or committed pursuant to this chapter.</w:t>
      </w:r>
    </w:p>
    <w:p>
      <w:pPr>
        <w:spacing w:before="0" w:after="0" w:line="408" w:lineRule="exact"/>
        <w:ind w:left="0" w:right="0" w:firstLine="576"/>
        <w:jc w:val="left"/>
      </w:pPr>
      <w:r>
        <w:rPr/>
        <w:t xml:space="preserve">(2) All relevant records and reports as defined by the department in rule shall be made available, upon request, to criminal justice agencies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205</w:t>
      </w:r>
      <w:r>
        <w:rPr/>
        <w:t xml:space="preserve"> and 2017 c 298 s 1 are each amended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use or disclosure is for the purpose of notifying, or assisting in the notification of, including identifying or locating,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uses and disclosures described in (a) of this subsection if:</w:t>
      </w:r>
    </w:p>
    <w:p>
      <w:pPr>
        <w:spacing w:before="0" w:after="0" w:line="408" w:lineRule="exact"/>
        <w:ind w:left="0" w:right="0" w:firstLine="576"/>
        <w:jc w:val="left"/>
      </w:pPr>
      <w:r>
        <w:rPr/>
        <w:t xml:space="preserve">(i) The patient is not present or obtaining the patient's authorization or providing the opportunity to agree or object to the use or disclosure is not practicable due to the patient's incapacity or an emergency circumstance, the health care provider or health care facility may in the exercise of professional judgment, determine whether the use or disclosure is in the best interests of the patient and, if so, disclose only the health care information that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patient is present for, or otherwise available prior to, the use or disclosure and has the capacity to make health care decisions, the health care provider or health care facility may use or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use or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use or disclosure.</w:t>
      </w:r>
    </w:p>
    <w:p>
      <w:pPr>
        <w:spacing w:before="0" w:after="0" w:line="408" w:lineRule="exact"/>
        <w:ind w:left="0" w:right="0" w:firstLine="576"/>
        <w:jc w:val="left"/>
      </w:pPr>
      <w:r>
        <w:rPr/>
        <w:t xml:space="preserve">(2) With respect to information and records related to mental health services provided to a patient by a health care provider,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use or disclosure of health care information</w:t>
      </w:r>
      <w:r>
        <w:rPr>
          <w:u w:val="single"/>
        </w:rPr>
        <w:t xml:space="preserve">, including information and records related to mental health services,</w:t>
      </w:r>
      <w:r>
        <w:rPr/>
        <w:t xml:space="preserve"> under this section must be limited to the minimum necessary to accomplish the purpose of the use or disclosure.</w:t>
      </w:r>
    </w:p>
    <w:p>
      <w:pPr>
        <w:spacing w:before="0" w:after="0" w:line="408" w:lineRule="exact"/>
        <w:ind w:left="0" w:right="0" w:firstLine="576"/>
        <w:jc w:val="left"/>
      </w:pPr>
      <w:r>
        <w:rPr/>
        <w:t xml:space="preserve">(4) A health care provider or health care facility is not subject to any civil liability for making or not making a use or disclosure in accordance with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2b0b97dccf4041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6e56ece134914" /><Relationship Type="http://schemas.openxmlformats.org/officeDocument/2006/relationships/footer" Target="/word/footer1.xml" Id="R2b0b97dccf40415e" /></Relationships>
</file>