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7fe8201f64d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2755</w:t>
      </w:r>
    </w:p>
    <w:p>
      <w:pPr>
        <w:jc w:val="center"/>
        <w:spacing w:before="480" w:after="0" w:line="240"/>
      </w:pPr>
      <w:r>
        <w:t xml:space="preserve">Chapter </w:t>
      </w:r>
      <w:r>
        <w:rPr/>
        <w:t xml:space="preserve">131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AIR AMBULANCE SERVICES--CLAIMS DATA</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2755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Schmick, Caldier, and Cody</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regarding the cost of air ambulance services; and amending RCW 43.371.060.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2019 c 319 s 6 are each amended to read as follows:</w:t>
      </w:r>
    </w:p>
    <w:p>
      <w:pPr>
        <w:spacing w:before="0" w:after="0" w:line="408" w:lineRule="exact"/>
        <w:ind w:left="0" w:right="0" w:firstLine="576"/>
        <w:jc w:val="left"/>
      </w:pPr>
      <w:r>
        <w:rPr/>
        <w:t xml:space="preserve">(1)(a) Under the supervision of and through contract with the authority,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authority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 or</w:t>
      </w:r>
    </w:p>
    <w:p>
      <w:pPr>
        <w:spacing w:before="0" w:after="0" w:line="408" w:lineRule="exact"/>
        <w:ind w:left="0" w:right="0" w:firstLine="576"/>
        <w:jc w:val="left"/>
      </w:pPr>
      <w:r>
        <w:rPr/>
        <w:t xml:space="preserve">(d) Contain medicaid data that is in direct conflict with the biannual medicaid forecast.</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authority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 </w:t>
      </w:r>
      <w:r>
        <w:rPr>
          <w:u w:val="single"/>
        </w:rPr>
        <w:t xml:space="preserve">The lead organization shall make information about claims data related to the provision of air ambulance service available on a web site that is accessible to the public in a searchable format by geographic region, provider, and other relevant information.</w:t>
      </w:r>
    </w:p>
    <w:p>
      <w:pPr>
        <w:spacing w:before="0" w:after="0" w:line="408" w:lineRule="exact"/>
        <w:ind w:left="0" w:right="0" w:firstLine="576"/>
        <w:jc w:val="left"/>
      </w:pPr>
      <w:r>
        <w:rPr>
          <w:u w:val="single"/>
        </w:rPr>
        <w:t xml:space="preserve">(7)</w:t>
      </w:r>
      <w:r>
        <w:rPr/>
        <w:t xml:space="preserve">(a) The lead organization shall distinguish in advance to the authority when it is operating in its capacity as the lead organization and when it is operating in its capacity as a private entity. Where the lead organization acts in its capacity as a private entity, it may only access data pursuant to RCW 43.371.050(4) (b), (c),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339d734fdcb84b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a7a118db954613" /><Relationship Type="http://schemas.openxmlformats.org/officeDocument/2006/relationships/footer" Target="/word/footer1.xml" Id="R339d734fdcb84bfd" /></Relationships>
</file>