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d66fe069d84f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2950</w:t>
      </w:r>
    </w:p>
    <w:p>
      <w:pPr>
        <w:jc w:val="center"/>
        <w:spacing w:before="480" w:after="0" w:line="240"/>
      </w:pPr>
      <w:r>
        <w:t xml:space="preserve">Chapter </w:t>
      </w:r>
      <w:r>
        <w:rPr/>
        <w:t xml:space="preserve">237</w:t>
      </w:r>
      <w:r>
        <w:t xml:space="preserve">, Laws of 2020</w:t>
      </w:r>
    </w:p>
    <w:p>
      <w:pPr>
        <w:jc w:val="center"/>
        <w:spacing w:before="240" w:after="0" w:line="240"/>
      </w:pPr>
      <w:r>
        <w:rPr/>
        <w:t xml:space="preserve">(partial veto)</w:t>
      </w:r>
    </w:p>
    <w:p>
      <w:pPr>
        <w:jc w:val="center"/>
        <w:spacing w:before="360" w:after="0" w:line="240"/>
      </w:pPr>
      <w:r>
        <w:t>66th Legislature</w:t>
      </w:r>
    </w:p>
    <w:p>
      <w:pPr>
        <w:jc w:val="center"/>
      </w:pPr>
      <w:r>
        <w:t>2020 Regular Session</w:t>
      </w:r>
    </w:p>
    <w:p>
      <w:pPr>
        <w:jc w:val="center"/>
        <w:spacing w:before="480" w:after="0" w:line="240"/>
      </w:pPr>
      <w:r>
        <w:rPr/>
        <w:t xml:space="preserve">MULTIFAMILY HOUSING TAX EXEMPTION--EXTENSION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42</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2950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10:59 AM with the exception of section 3,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2950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Finance (originally sponsored by Representatives Macri and Ramel)</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affordable housing needs through the multifamily housing tax exemption by providing an extension of the exemption until January 1, 2022, for certain properties currently receiving a twelve-year exemption and by convening a work group; amending RCW 84.14.020 and 84.14.100;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2, chapter . . ., Laws of 2020 (section 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local governments and multifamily housing owners to maintain or expand existing income-restricted unit stock that have been incentivized through the tax exemption provided under chapter 84.14 RCW.</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twelve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tax preferences in section 2, chapter . . ., Laws of 2020 (section 2 of this act), if a review finds that the stock of income-restricted units in the state is preserved as a result of the extensions provided in RCW 84.14.020(1)(c).</w:t>
      </w:r>
    </w:p>
    <w:p>
      <w:pPr>
        <w:spacing w:before="0" w:after="0" w:line="408" w:lineRule="exact"/>
        <w:ind w:left="0" w:right="0" w:firstLine="576"/>
        <w:jc w:val="left"/>
      </w:pPr>
      <w:r>
        <w:rPr/>
        <w:t xml:space="preserve">(6) In order to obtain the data necessary to perform the review in subsection (5)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u w:val="single"/>
        </w:rPr>
        <w:t xml:space="preserve">(c) For properties receiving an exemption as provided in (a)(ii)(B) of this subsection that are in compliance with existing contracts and where the certificate of tax exemption is set to expire after the effective date of this section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new or rehabilitated housing cost shall be considered as new construction for the purposes of chapter 84.55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December 31st of each year, beginning in 2007,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The income of each renter household at the time of initial occupancy and the income of each initial purchaser of owner</w:t>
      </w:r>
      <w:r>
        <w:rPr/>
        <w:noBreakHyphen/>
      </w:r>
      <w:r>
        <w:rPr/>
        <w:t xml:space="preserve">occupied units at the time of purchase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 The department of commerce must contract with a nonprofit organization with experience in facilitating multi-sector policy and planning efforts to convene, and provide staff support to, a work group to study and make recommendations on the multifamily property tax exemption as provided in chapter 84.14 RCW. The work group must convene no later than July 1, 2020, and must hold at least four meetings prior to November 1, 2020.</w:t>
      </w:r>
    </w:p>
    <w:p>
      <w:pPr>
        <w:spacing w:before="0" w:after="0" w:line="408" w:lineRule="exact"/>
        <w:ind w:left="0" w:right="0" w:firstLine="576"/>
        <w:jc w:val="left"/>
      </w:pPr>
      <w:r>
        <w:rPr>
          <w:u w:val="single"/>
        </w:rPr>
        <w:t xml:space="preserve">(a) The work group membership must consist of:</w:t>
      </w:r>
    </w:p>
    <w:p>
      <w:pPr>
        <w:spacing w:before="0" w:after="0" w:line="408" w:lineRule="exact"/>
        <w:ind w:left="0" w:right="0" w:firstLine="576"/>
        <w:jc w:val="left"/>
      </w:pPr>
      <w:r>
        <w:rPr>
          <w:u w:val="single"/>
        </w:rPr>
        <w:t xml:space="preserve">(i) One representative from the department of commerce;</w:t>
      </w:r>
    </w:p>
    <w:p>
      <w:pPr>
        <w:spacing w:before="0" w:after="0" w:line="408" w:lineRule="exact"/>
        <w:ind w:left="0" w:right="0" w:firstLine="576"/>
        <w:jc w:val="left"/>
      </w:pPr>
      <w:r>
        <w:rPr>
          <w:u w:val="single"/>
        </w:rPr>
        <w:t xml:space="preserve">(ii) One representative from the department of revenue;</w:t>
      </w:r>
    </w:p>
    <w:p>
      <w:pPr>
        <w:spacing w:before="0" w:after="0" w:line="408" w:lineRule="exact"/>
        <w:ind w:left="0" w:right="0" w:firstLine="576"/>
        <w:jc w:val="left"/>
      </w:pPr>
      <w:r>
        <w:rPr>
          <w:u w:val="single"/>
        </w:rPr>
        <w:t xml:space="preserve">(iii) One representative from the Washington state housing finance commission;</w:t>
      </w:r>
    </w:p>
    <w:p>
      <w:pPr>
        <w:spacing w:before="0" w:after="0" w:line="408" w:lineRule="exact"/>
        <w:ind w:left="0" w:right="0" w:firstLine="576"/>
        <w:jc w:val="left"/>
      </w:pPr>
      <w:r>
        <w:rPr>
          <w:u w:val="single"/>
        </w:rPr>
        <w:t xml:space="preserve">(iv) One representative from the association of Washington cities;</w:t>
      </w:r>
    </w:p>
    <w:p>
      <w:pPr>
        <w:spacing w:before="0" w:after="0" w:line="408" w:lineRule="exact"/>
        <w:ind w:left="0" w:right="0" w:firstLine="576"/>
        <w:jc w:val="left"/>
      </w:pPr>
      <w:r>
        <w:rPr>
          <w:u w:val="single"/>
        </w:rPr>
        <w:t xml:space="preserve">(v) One representative from the Washington state association of counties;</w:t>
      </w:r>
    </w:p>
    <w:p>
      <w:pPr>
        <w:spacing w:before="0" w:after="0" w:line="408" w:lineRule="exact"/>
        <w:ind w:left="0" w:right="0" w:firstLine="576"/>
        <w:jc w:val="left"/>
      </w:pPr>
      <w:r>
        <w:rPr>
          <w:u w:val="single"/>
        </w:rPr>
        <w:t xml:space="preserve">(vi) One representative from the Washington low income housing alliance;</w:t>
      </w:r>
    </w:p>
    <w:p>
      <w:pPr>
        <w:spacing w:before="0" w:after="0" w:line="408" w:lineRule="exact"/>
        <w:ind w:left="0" w:right="0" w:firstLine="576"/>
        <w:jc w:val="left"/>
      </w:pPr>
      <w:r>
        <w:rPr>
          <w:u w:val="single"/>
        </w:rPr>
        <w:t xml:space="preserve">(vii) One representative from the housing development consortium of Seattle-King county;</w:t>
      </w:r>
    </w:p>
    <w:p>
      <w:pPr>
        <w:spacing w:before="0" w:after="0" w:line="408" w:lineRule="exact"/>
        <w:ind w:left="0" w:right="0" w:firstLine="576"/>
        <w:jc w:val="left"/>
      </w:pPr>
      <w:r>
        <w:rPr>
          <w:u w:val="single"/>
        </w:rPr>
        <w:t xml:space="preserve">(viii) One representative from the Spokane low income housing consortium;</w:t>
      </w:r>
    </w:p>
    <w:p>
      <w:pPr>
        <w:spacing w:before="0" w:after="0" w:line="408" w:lineRule="exact"/>
        <w:ind w:left="0" w:right="0" w:firstLine="576"/>
        <w:jc w:val="left"/>
      </w:pPr>
      <w:r>
        <w:rPr>
          <w:u w:val="single"/>
        </w:rPr>
        <w:t xml:space="preserve">(ix) One representative from the Washington multifamily housing association;</w:t>
      </w:r>
    </w:p>
    <w:p>
      <w:pPr>
        <w:spacing w:before="0" w:after="0" w:line="408" w:lineRule="exact"/>
        <w:ind w:left="0" w:right="0" w:firstLine="576"/>
        <w:jc w:val="left"/>
      </w:pPr>
      <w:r>
        <w:rPr>
          <w:u w:val="single"/>
        </w:rPr>
        <w:t xml:space="preserve">(x) One representative from the Washington state labor council;</w:t>
      </w:r>
    </w:p>
    <w:p>
      <w:pPr>
        <w:spacing w:before="0" w:after="0" w:line="408" w:lineRule="exact"/>
        <w:ind w:left="0" w:right="0" w:firstLine="576"/>
        <w:jc w:val="left"/>
      </w:pPr>
      <w:r>
        <w:rPr>
          <w:u w:val="single"/>
        </w:rPr>
        <w:t xml:space="preserve">(xi) One representative from the Washington building trades council;</w:t>
      </w:r>
    </w:p>
    <w:p>
      <w:pPr>
        <w:spacing w:before="0" w:after="0" w:line="408" w:lineRule="exact"/>
        <w:ind w:left="0" w:right="0" w:firstLine="576"/>
        <w:jc w:val="left"/>
      </w:pPr>
      <w:r>
        <w:rPr>
          <w:u w:val="single"/>
        </w:rPr>
        <w:t xml:space="preserve">(xii) One representative from a city with a population greater than five hundred thousand;</w:t>
      </w:r>
    </w:p>
    <w:p>
      <w:pPr>
        <w:spacing w:before="0" w:after="0" w:line="408" w:lineRule="exact"/>
        <w:ind w:left="0" w:right="0" w:firstLine="576"/>
        <w:jc w:val="left"/>
      </w:pPr>
      <w:r>
        <w:rPr>
          <w:u w:val="single"/>
        </w:rPr>
        <w:t xml:space="preserve">(xiii) One representative from a city with a population greater than fifty thousand, but less than five hundred thousand;</w:t>
      </w:r>
    </w:p>
    <w:p>
      <w:pPr>
        <w:spacing w:before="0" w:after="0" w:line="408" w:lineRule="exact"/>
        <w:ind w:left="0" w:right="0" w:firstLine="576"/>
        <w:jc w:val="left"/>
      </w:pPr>
      <w:r>
        <w:rPr>
          <w:u w:val="single"/>
        </w:rPr>
        <w:t xml:space="preserve">(xiv) One representative from a city with a population less than fifty thousand;</w:t>
      </w:r>
    </w:p>
    <w:p>
      <w:pPr>
        <w:spacing w:before="0" w:after="0" w:line="408" w:lineRule="exact"/>
        <w:ind w:left="0" w:right="0" w:firstLine="576"/>
        <w:jc w:val="left"/>
      </w:pPr>
      <w:r>
        <w:rPr>
          <w:u w:val="single"/>
        </w:rPr>
        <w:t xml:space="preserve">(xv) One representative from futurewise; and</w:t>
      </w:r>
    </w:p>
    <w:p>
      <w:pPr>
        <w:spacing w:before="0" w:after="0" w:line="408" w:lineRule="exact"/>
        <w:ind w:left="0" w:right="0" w:firstLine="576"/>
        <w:jc w:val="left"/>
      </w:pPr>
      <w:r>
        <w:rPr>
          <w:u w:val="single"/>
        </w:rPr>
        <w:t xml:space="preserve">(xvi) Two representatives from NAOIP, the commercial real estate development association, as follows:</w:t>
      </w:r>
    </w:p>
    <w:p>
      <w:pPr>
        <w:spacing w:before="0" w:after="0" w:line="408" w:lineRule="exact"/>
        <w:ind w:left="0" w:right="0" w:firstLine="576"/>
        <w:jc w:val="left"/>
      </w:pPr>
      <w:r>
        <w:rPr>
          <w:u w:val="single"/>
        </w:rPr>
        <w:t xml:space="preserve">(A) One representative must be a participant in the multifamily property tax exemption, as provided in chapter 84.14 RCW, in a city with a population greater than one hundred thousand; and</w:t>
      </w:r>
    </w:p>
    <w:p>
      <w:pPr>
        <w:spacing w:before="0" w:after="0" w:line="408" w:lineRule="exact"/>
        <w:ind w:left="0" w:right="0" w:firstLine="576"/>
        <w:jc w:val="left"/>
      </w:pPr>
      <w:r>
        <w:rPr>
          <w:u w:val="single"/>
        </w:rPr>
        <w:t xml:space="preserve">(B) One representative must be a participant in the multifamily property tax exemption, as provided in chapter 84.14 RCW, in a city with a population less than fifty thousand.</w:t>
      </w:r>
    </w:p>
    <w:p>
      <w:pPr>
        <w:spacing w:before="0" w:after="0" w:line="408" w:lineRule="exact"/>
        <w:ind w:left="0" w:right="0" w:firstLine="576"/>
        <w:jc w:val="left"/>
      </w:pPr>
      <w:r>
        <w:rPr>
          <w:u w:val="single"/>
        </w:rPr>
        <w:t xml:space="preserve">(b) By December 1, 2020, the work group must submit a report to the appropriate committees of the legislature and the joint legislative audit and review committee. The work group must provide opportunities for stakeholders to provide feedback on the report prior to submission. The report must:</w:t>
      </w:r>
    </w:p>
    <w:p>
      <w:pPr>
        <w:spacing w:before="0" w:after="0" w:line="408" w:lineRule="exact"/>
        <w:ind w:left="0" w:right="0" w:firstLine="576"/>
        <w:jc w:val="left"/>
      </w:pPr>
      <w:r>
        <w:rPr>
          <w:u w:val="single"/>
        </w:rPr>
        <w:t xml:space="preserve">(i) Identify reporting improvements needed for increased accountability and meeting program requirements, including a requirement of a public benefit analysis prior to project approval, consistency in reporting metrics, and information collected in reports. For the purpose of this subsection (3)(b)(i):</w:t>
      </w:r>
    </w:p>
    <w:p>
      <w:pPr>
        <w:spacing w:before="0" w:after="0" w:line="408" w:lineRule="exact"/>
        <w:ind w:left="0" w:right="0" w:firstLine="576"/>
        <w:jc w:val="left"/>
      </w:pPr>
      <w:r>
        <w:rPr>
          <w:u w:val="single"/>
        </w:rPr>
        <w:t xml:space="preserve">(A) "Affordability" means the difference between the market rent and the income-restricted rent for similar units within the participating housing development; and</w:t>
      </w:r>
    </w:p>
    <w:p>
      <w:pPr>
        <w:spacing w:before="0" w:after="0" w:line="408" w:lineRule="exact"/>
        <w:ind w:left="0" w:right="0" w:firstLine="576"/>
        <w:jc w:val="left"/>
      </w:pPr>
      <w:r>
        <w:rPr>
          <w:u w:val="single"/>
        </w:rPr>
        <w:t xml:space="preserve">(B) "Public benefit analysis" includes an affordability analysis and an examination of other measures local jurisdictions use that are replicable, including a profitability analysis;</w:t>
      </w:r>
    </w:p>
    <w:p>
      <w:pPr>
        <w:spacing w:before="0" w:after="0" w:line="408" w:lineRule="exact"/>
        <w:ind w:left="0" w:right="0" w:firstLine="576"/>
        <w:jc w:val="left"/>
      </w:pPr>
      <w:r>
        <w:rPr>
          <w:u w:val="single"/>
        </w:rPr>
        <w:t xml:space="preserve">(ii) Examine whether tenants living in affordable units created under this chapter are experiencing increases in rent due to increases in city median income that significantly outpace the tenants' income, and provide recommendations on how to address this problem;</w:t>
      </w:r>
    </w:p>
    <w:p>
      <w:pPr>
        <w:spacing w:before="0" w:after="0" w:line="408" w:lineRule="exact"/>
        <w:ind w:left="0" w:right="0" w:firstLine="576"/>
        <w:jc w:val="left"/>
      </w:pPr>
      <w:r>
        <w:rPr>
          <w:u w:val="single"/>
        </w:rPr>
        <w:t xml:space="preserve">(iii) Recommend which elements of the exemption be modified or maintained in order to assist counties and cities achieve the planning goals mandated by the growth management act, as provided in chapter 36.70A RCW; and</w:t>
      </w:r>
    </w:p>
    <w:p>
      <w:pPr>
        <w:spacing w:before="0" w:after="0" w:line="408" w:lineRule="exact"/>
        <w:ind w:left="0" w:right="0" w:firstLine="576"/>
        <w:jc w:val="left"/>
      </w:pPr>
      <w:r>
        <w:rPr>
          <w:u w:val="single"/>
        </w:rPr>
        <w:t xml:space="preserve">(iv) Recommend changes to the exemption that would:</w:t>
      </w:r>
    </w:p>
    <w:p>
      <w:pPr>
        <w:spacing w:before="0" w:after="0" w:line="408" w:lineRule="exact"/>
        <w:ind w:left="0" w:right="0" w:firstLine="576"/>
        <w:jc w:val="left"/>
      </w:pPr>
      <w:r>
        <w:rPr>
          <w:u w:val="single"/>
        </w:rPr>
        <w:t xml:space="preserve">(A) Likely increase the supply of affordable housing including, but not limited to, a review of area median income requirements that lead to greater affordability, and the size of units;</w:t>
      </w:r>
    </w:p>
    <w:p>
      <w:pPr>
        <w:spacing w:before="0" w:after="0" w:line="408" w:lineRule="exact"/>
        <w:ind w:left="0" w:right="0" w:firstLine="576"/>
        <w:jc w:val="left"/>
      </w:pPr>
      <w:r>
        <w:rPr>
          <w:u w:val="single"/>
        </w:rPr>
        <w:t xml:space="preserve">(B) Include tenant protections beyond affordability requirements;</w:t>
      </w:r>
    </w:p>
    <w:p>
      <w:pPr>
        <w:spacing w:before="0" w:after="0" w:line="408" w:lineRule="exact"/>
        <w:ind w:left="0" w:right="0" w:firstLine="576"/>
        <w:jc w:val="left"/>
      </w:pPr>
      <w:r>
        <w:rPr>
          <w:u w:val="single"/>
        </w:rPr>
        <w:t xml:space="preserve">(C) Increase the supply of affordable housing while preserving workforce housing; and</w:t>
      </w:r>
    </w:p>
    <w:p>
      <w:pPr>
        <w:spacing w:before="0" w:after="0" w:line="408" w:lineRule="exact"/>
        <w:ind w:left="0" w:right="0" w:firstLine="576"/>
        <w:jc w:val="left"/>
      </w:pPr>
      <w:r>
        <w:rPr>
          <w:u w:val="single"/>
        </w:rPr>
        <w:t xml:space="preserve">(D) Promote density in residential targeted areas, with consideration of how increased density impacts existing communities and affordability in those communities.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12, 2020.</w:t>
      </w:r>
    </w:p>
    <w:p>
      <w:pPr>
        <w:spacing w:before="0" w:after="0" w:line="408" w:lineRule="exact"/>
        <w:ind w:left="0" w:right="0" w:firstLine="576"/>
        <w:jc w:val="left"/>
      </w:pPr>
      <w:r>
        <w:rPr/>
        <w:t xml:space="preserve">Approved by the Governor March 31, 2020, with the exception of certain items that were vetoed.</w:t>
      </w:r>
    </w:p>
    <w:p>
      <w:pPr>
        <w:spacing w:before="0" w:after="0" w:line="408" w:lineRule="exact"/>
        <w:ind w:left="0" w:right="0" w:firstLine="576"/>
        <w:jc w:val="left"/>
      </w:pPr>
      <w:r>
        <w:rPr/>
        <w:t xml:space="preserve">Filed in Office of Secretary of State March 31, 2020.</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3, Substitute House Bill No. 2950 entitled:</w:t>
      </w:r>
    </w:p>
    <w:p>
      <w:pPr>
        <w:spacing w:before="120" w:after="0" w:line="408" w:lineRule="exact"/>
        <w:ind w:left="0" w:right="0" w:firstLine="576"/>
        <w:jc w:val="left"/>
      </w:pPr>
      <w:r>
        <w:rPr/>
        <w:t xml:space="preserve">"AN ACT Relating to addressing affordable housing needs through the multifamily housing tax exemption by providing an extension of the exemption until January 1, 2022, for certain properties currently receiving a twelve-year exemption and by convening a work group."</w:t>
      </w:r>
    </w:p>
    <w:p>
      <w:pPr>
        <w:spacing w:before="120" w:after="0" w:line="408" w:lineRule="exact"/>
        <w:ind w:left="0" w:right="0" w:firstLine="0"/>
        <w:jc w:val="left"/>
      </w:pPr>
      <w:r>
        <w:rPr/>
        <w:t xml:space="preserve">This bill extends the multifamily property tax exemption for certain properties through December 31, 2021. Section 3 directs the Department of Commence to contract with a nonprofit facilitator to convene a work group to study and make recommendations on certain aspects of the multifamily property tax exemption program. The Department is also required to provide a follow-up report to the Legislature and the Joint Legislative Audit and Review Committee by December 1, 2020. However, the work required under Section 3 is not funded in the budget.</w:t>
      </w:r>
    </w:p>
    <w:p>
      <w:pPr>
        <w:spacing w:before="120" w:after="0" w:line="408" w:lineRule="exact"/>
        <w:ind w:left="0" w:right="0" w:firstLine="0"/>
        <w:jc w:val="left"/>
      </w:pPr>
      <w:r>
        <w:rPr/>
        <w:t xml:space="preserve">For these reasons I have vetoed Section 3 of Substitute House Bill No. 2950.</w:t>
      </w:r>
    </w:p>
    <w:p>
      <w:pPr>
        <w:spacing w:before="120" w:after="0" w:line="408" w:lineRule="exact"/>
        <w:ind w:left="0" w:right="0" w:firstLine="0"/>
        <w:jc w:val="left"/>
      </w:pPr>
      <w:r>
        <w:rPr/>
        <w:t xml:space="preserve">With the exception of Section 3, Substitute House Bill No. 2950 is approved."</w:t>
      </w:r>
    </w:p>
    <w:sectPr>
      <w:pgNumType w:start="1"/>
      <w:footerReference xmlns:r="http://schemas.openxmlformats.org/officeDocument/2006/relationships" r:id="Rb38955f651344bb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2b6bfbc3a3426f" /><Relationship Type="http://schemas.openxmlformats.org/officeDocument/2006/relationships/footer" Target="/word/footer1.xml" Id="Rb38955f651344bbb" /></Relationships>
</file>