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f3a27219d4a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5135</w:t>
      </w:r>
    </w:p>
    <w:p>
      <w:pPr>
        <w:jc w:val="center"/>
        <w:spacing w:before="480" w:after="0" w:line="240"/>
      </w:pPr>
      <w:r>
        <w:t xml:space="preserve">Chapter </w:t>
      </w:r>
      <w:r>
        <w:rPr/>
        <w:t xml:space="preserve">292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TOXIC POLLUTION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27</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60</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Rolfes, Frockt, Salomon, Palumbo, Cleveland, Carlyle, Kuderer, Saldaña, Billig, Dhingra, Pedersen, Wellman, Hunt, Das, McCoy, Liias, Darneille, Hasegawa, Keiser, and Van De Wege)</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toxic pollution that affects public health or the environment; amending RCW 70.240.040, 43.21B.110, and 34.05.272;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0" w:after="0" w:line="408" w:lineRule="exact"/>
        <w:ind w:left="0" w:right="0" w:firstLine="576"/>
        <w:jc w:val="left"/>
      </w:pPr>
      <w:r>
        <w:rPr/>
        <w:t xml:space="preserve">(14)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(15)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section 4 of this act to restrict or require the disclosure of a priority chemical in an inaccessible electronic component of the electronic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sections 2 and 3 of this act,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section 4(1) (b) or (c) of this act.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section 4(1) (b) or (c) of this act is a significant legislative rule for purposes of RCW 34.05.328. The department must prepare a small business economic impact statement consistent with the requirements of RCW 19.85.040 for each rule to implement a determination of a regulatory action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13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w:t>
      </w:r>
      <w:r>
        <w:rPr>
          <w:u w:val="single"/>
        </w:rPr>
        <w:t xml:space="preserve">and to actions taken by the department of ecology under chapter 70.--- RCW (the new chapter created in section 13 of this act)</w:t>
      </w:r>
      <w:r>
        <w:rPr/>
        <w:t xml:space="preserve">.</w:t>
      </w:r>
    </w:p>
    <w:p>
      <w:pPr>
        <w:spacing w:before="0" w:after="0" w:line="408" w:lineRule="exact"/>
        <w:ind w:left="0" w:right="0" w:firstLine="576"/>
        <w:jc w:val="left"/>
      </w:pPr>
      <w:r>
        <w:rPr/>
        <w:t xml:space="preserve">(2)(a) Before taking a significant agency action, </w:t>
      </w:r>
      <w:r>
        <w:rPr>
          <w:u w:val="single"/>
        </w:rPr>
        <w:t xml:space="preserve">which includes each department of ecology rule to implement a determination of a regulatory action specified in section 4(1) (b) or (c) of this act,</w:t>
      </w:r>
      <w:r>
        <w:rPr/>
        <w:t xml:space="preserve">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w:t>
      </w:r>
      <w:r>
        <w:t>((</w:t>
      </w:r>
      <w:r>
        <w:rPr>
          <w:strike/>
        </w:rPr>
        <w:t xml:space="preserve">(1)</w:t>
      </w:r>
      <w:r>
        <w:t>))</w:t>
      </w:r>
      <w:r>
        <w:rPr/>
        <w:t xml:space="preserve"> </w:t>
      </w:r>
      <w:r>
        <w:rPr>
          <w:u w:val="single"/>
        </w:rPr>
        <w:t xml:space="preserve">(2)</w:t>
      </w:r>
      <w:r>
        <w:rPr/>
        <w:t xml:space="preserve">(c).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8953d67178443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5163df20148e5" /><Relationship Type="http://schemas.openxmlformats.org/officeDocument/2006/relationships/footer" Target="/word/footer1.xml" Id="R48953d671784434a" /></Relationships>
</file>