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84dfe3d5ef49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5147</w:t>
      </w:r>
    </w:p>
    <w:p>
      <w:pPr>
        <w:jc w:val="center"/>
        <w:spacing w:before="480" w:after="0" w:line="240"/>
      </w:pPr>
      <w:r>
        <w:t xml:space="preserve">Chapter </w:t>
      </w:r>
      <w:r>
        <w:rPr/>
        <w:t xml:space="preserve">350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MENSTRUAL PRODUCTS--SALES AND USE TAX EXEMPTION</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5147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Wilson, L., Brown, Carlyle, Conway, Darneille, Palumbo, Keiser, Mullet, O'Ban, Short, Wagoner, and Warnick)</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by exempting menstrual products from retail sales and use tax; adding a new section to chapter 82.08 RCW; adding a new section to chapter 82.12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feminine hygiene products are a necessity for most females in the state. Taxing a necessary feminine hygiene product unjustly adds an additional tax burden on females that creates a tax gap between genders, requiring females to potentially pay more of their income to state taxes. The legislature further finds that taxing feminine hygiene products adds to the regressive tax burden on low-income families. The legislature further finds that feminine hygiene products are not a discretionary purchase, they are a necessity for which there is no alternative for females to maintain proper health and hygiene. Therefore, the legislature intends to provide a permanent sales and use tax exemption for feminine hygiene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sales and use tax exemptions for feminine hygiene products provided in sections 3 and 4, chapter . . ., Laws of 2020 (sections 3 and 4 of this act). This performance statement is only intended to be used for subsequent evaluation of the tax preferences. It is not intended to create a private right of action by any party or be used to determine eligibility to preferential tax treatment.</w:t>
      </w:r>
    </w:p>
    <w:p>
      <w:pPr>
        <w:spacing w:before="0" w:after="0" w:line="408" w:lineRule="exact"/>
        <w:ind w:left="0" w:right="0" w:firstLine="576"/>
        <w:jc w:val="left"/>
      </w:pPr>
      <w:r>
        <w:rPr/>
        <w:t xml:space="preserve">(2) The legislature categorizes these tax preferences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authorize a permanent sales and use tax exemption for feminine hygiene products to reduce the tax burden on females for a product that is fundamental to personal hygiene and health.</w:t>
      </w:r>
    </w:p>
    <w:p>
      <w:pPr>
        <w:spacing w:before="0" w:after="0" w:line="408" w:lineRule="exact"/>
        <w:ind w:left="0" w:right="0" w:firstLine="576"/>
        <w:jc w:val="left"/>
      </w:pPr>
      <w:r>
        <w:rPr/>
        <w:t xml:space="preserve">(4) The joint legislative audit and review committee is not required to include the tax preferences authorized in sections 3 and 4, chapter . . ., Laws of 2020 (sections 3 and 4 of this act) as part of its normal review process of tax preferences. The tax preferences authorized in sections 3 and 4, chapter . . ., Laws of 2020 (sections 3 and 4 of this act) will be included in the tax exemption report required under RCW 43.06.400 published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sales of feminine hygiene products.</w:t>
      </w:r>
    </w:p>
    <w:p>
      <w:pPr>
        <w:spacing w:before="0" w:after="0" w:line="408" w:lineRule="exact"/>
        <w:ind w:left="0" w:right="0" w:firstLine="576"/>
        <w:jc w:val="left"/>
      </w:pPr>
      <w:r>
        <w:rPr/>
        <w:t xml:space="preserve">(2) "Feminine hygiene products" means sanitary napkins, tampons, menstrual cups, or any other similar products sold at retail designed specifically to catch menstrual flow either internally or externally.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feminine hygiene products.</w:t>
      </w:r>
    </w:p>
    <w:p>
      <w:pPr>
        <w:spacing w:before="0" w:after="0" w:line="408" w:lineRule="exact"/>
        <w:ind w:left="0" w:right="0" w:firstLine="576"/>
        <w:jc w:val="left"/>
      </w:pPr>
      <w:r>
        <w:rPr/>
        <w:t xml:space="preserve">(2) "Feminine hygiene products" has the same meaning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automatic expiration date provisions of RCW 82.32.805(1)(a)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e94b606cd67343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0b5ea16a3342d5" /><Relationship Type="http://schemas.openxmlformats.org/officeDocument/2006/relationships/footer" Target="/word/footer1.xml" Id="Re94b606cd673431f" /></Relationships>
</file>