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0d2ebd9fc40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5205</w:t>
      </w:r>
    </w:p>
    <w:p>
      <w:pPr>
        <w:jc w:val="center"/>
        <w:spacing w:before="480" w:after="0" w:line="240"/>
      </w:pPr>
      <w:r>
        <w:t xml:space="preserve">Chapter </w:t>
      </w:r>
      <w:r>
        <w:rPr/>
        <w:t xml:space="preserve">248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PERSONS INCOMPETENT TO STAND TRIAL--FIREARM POSSESSION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32</w:t>
            </w:r>
            <w:r>
              <w:t xml:space="preserve">  Nays </w:t>
              <w:t xml:space="preserve">17</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53</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King, Frockt, Zeiger, Pedersen, Das, Rolfes, Palumbo, Kuderer, Keiser, Wellman, Hunt, Mullet, and Saldaña</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governing firearms possession by persons who have been found incompetent to stand trial and who have a history of one or more violent acts; amending RCW 10.77.088, 9.41.040, and 9.41.047;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that the person has a history of one or more violent acts,</w:t>
      </w:r>
      <w:r>
        <w:rPr/>
        <w:t xml:space="preserve"> the convicting or committing court</w:t>
      </w:r>
      <w:r>
        <w:rPr>
          <w:u w:val="single"/>
        </w:rPr>
        <w:t xml:space="preserve">, or court that dismisses charges,</w:t>
      </w:r>
      <w:r>
        <w:rPr/>
        <w:t xml:space="preserve">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dismissal of charges,</w:t>
      </w:r>
      <w:r>
        <w:rPr/>
        <w:t xml:space="preserve"> a copy of the person's driver's license or identicard, or comparable information, along with the date of conviction or commitment, </w:t>
      </w:r>
      <w:r>
        <w:rPr>
          <w:u w:val="single"/>
        </w:rPr>
        <w:t xml:space="preserve">or date charges are dismissed,</w:t>
      </w:r>
      <w:r>
        <w:rPr/>
        <w:t xml:space="preserve"> to the department of licensing. When a person is committed by court order under RCW 71.05.240, 71.05.320, 71.34.740, 71.34.750, or chapter 10.77 RCW, for mental health treatment, </w:t>
      </w:r>
      <w:r>
        <w:rPr>
          <w:u w:val="single"/>
        </w:rPr>
        <w:t xml:space="preserve">or when a person's charges are dismissed based on incompetency to stand trial under RCW 10.77.088 and the court makes a finding that the person has a history of one or more violent acts,</w:t>
      </w:r>
      <w:r>
        <w:rPr/>
        <w:t xml:space="preserve"> the </w:t>
      </w:r>
      <w:r>
        <w:t>((</w:t>
      </w:r>
      <w:r>
        <w:rPr>
          <w:strike/>
        </w:rPr>
        <w:t xml:space="preserve">committing</w:t>
      </w:r>
      <w:r>
        <w:t>))</w:t>
      </w:r>
      <w:r>
        <w:rPr/>
        <w:t xml:space="preserve"> court also shall forward, within three judicial days after entry of the commitment order</w:t>
      </w:r>
      <w:r>
        <w:rPr>
          <w:u w:val="single"/>
        </w:rPr>
        <w:t xml:space="preserve">, or dismissal of charges</w:t>
      </w:r>
      <w:r>
        <w:rPr/>
        <w:t xml:space="preserve">, a copy of the person's driver's license, or comparable information, along with the date of commitment </w:t>
      </w:r>
      <w:r>
        <w:rPr>
          <w:u w:val="single"/>
        </w:rPr>
        <w:t xml:space="preserve">or date charges are dismissed</w:t>
      </w:r>
      <w:r>
        <w:rPr/>
        <w:t xml:space="preserve">,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the person whose charges are dismissed based on incompetency to stand trial,</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because the person's charges were dismissed based on incompetency to stand trial under RCW 10.77.088 and the court made a finding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incompetency</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incompetency</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2f1d47e89b074b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be45942964258" /><Relationship Type="http://schemas.openxmlformats.org/officeDocument/2006/relationships/footer" Target="/word/footer1.xml" Id="R2f1d47e89b074b22" /></Relationships>
</file>