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e793de89ee48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5386</w:t>
      </w:r>
    </w:p>
    <w:p>
      <w:pPr>
        <w:jc w:val="center"/>
        <w:spacing w:before="480" w:after="0" w:line="240"/>
      </w:pPr>
      <w:r>
        <w:t xml:space="preserve">Chapter </w:t>
      </w:r>
      <w:r>
        <w:rPr/>
        <w:t xml:space="preserve">48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TELEMEDICINE TRAINING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Rivers, O'Ban, Short, Braun, Wilson, L., Holy, Brown, Warnick, Bailey, Zeiger, Conway,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standards in providing telemedicine services;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Beginning January 1, 2020, a health care professional who provides clinical services through telemedicine may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The training may be incorporated into existing telemedicine training programs, provided that the training meets the requirements in subsection (2) of this section.</w:t>
      </w:r>
    </w:p>
    <w:p>
      <w:pPr>
        <w:spacing w:before="0" w:after="0" w:line="408" w:lineRule="exact"/>
        <w:ind w:left="0" w:right="0" w:firstLine="576"/>
        <w:jc w:val="left"/>
      </w:pPr>
      <w:r>
        <w:rPr/>
        <w:t xml:space="preserve">(4) For purposes of this section, a "health care professional" means a person licensed, registered, or certified to provide health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0f5dea171e3749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4b443644b04e1d" /><Relationship Type="http://schemas.openxmlformats.org/officeDocument/2006/relationships/footer" Target="/word/footer1.xml" Id="R0f5dea171e3749ff" /></Relationships>
</file>