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0f3f04cca47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5410</w:t>
      </w:r>
    </w:p>
    <w:p>
      <w:pPr>
        <w:jc w:val="center"/>
        <w:spacing w:before="480" w:after="0" w:line="240"/>
      </w:pPr>
      <w:r>
        <w:t xml:space="preserve">Chapter </w:t>
      </w:r>
      <w:r>
        <w:rPr/>
        <w:t xml:space="preserve">316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HIGHER EDUCATION CREDIT--ADVANCED PLACEMENT, INTERNATIONAL BACCALAUREATE, AND CAMBRIDGE INTERNATIONAL EXAMS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Mullet, Rivers, Palumbo, Liias,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advanced placement, international baccalaureate, and Cambridge international exams; amending RCW 28B.10.054; creating a new section; and repealing RCW 28B.10.051.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 legislature feels strongly that students who have earned minimum scores of three on advanced placement exams, four on standard-level and higher-level international baccalaureate exams, or scores of E(e) or higher on A and AS level Cambridge international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E(e) or higher on A and AS level Cambridge international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international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international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international</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2568ab62377945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a145b3be44741" /><Relationship Type="http://schemas.openxmlformats.org/officeDocument/2006/relationships/footer" Target="/word/footer1.xml" Id="R2568ab6237794533" /></Relationships>
</file>