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d64e35ff4e418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5488</w:t>
      </w:r>
    </w:p>
    <w:p>
      <w:pPr>
        <w:jc w:val="center"/>
        <w:spacing w:before="480" w:after="0" w:line="240"/>
      </w:pPr>
      <w:r>
        <w:t xml:space="preserve">Chapter </w:t>
      </w:r>
      <w:r>
        <w:rPr/>
        <w:t xml:space="preserve">141</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YOUTH AND YOUNG ADULTS--CRIMINAL SENTENCING</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31</w:t>
            </w:r>
            <w:r>
              <w:t xml:space="preserve">  Nays </w:t>
              <w:t xml:space="preserve">18</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64</w:t>
            </w:r>
            <w:r>
              <w:t xml:space="preserve">  Nays </w:t>
              <w:t xml:space="preserve">32</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5488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2020 3:28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5488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Human Services, Reentry &amp; Rehabilitation (originally sponsored by Senators Darneille, Saldaña, Wilson, C., Keiser, and Nguyen)</w:t>
      </w:r>
    </w:p>
    <w:p/>
    <w:p>
      <w:r>
        <w:rPr>
          <w:t xml:space="preserve">READ FIRST TIME 01/23/20.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sentencing of youth and young adults; and amending RCW 9.94A.533.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2018 c 7 s 8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0" w:after="0" w:line="408" w:lineRule="exact"/>
        <w:ind w:left="0" w:right="0" w:firstLine="576"/>
        <w:jc w:val="left"/>
      </w:pPr>
      <w:r>
        <w:rPr>
          <w:u w:val="single"/>
        </w:rPr>
        <w:t xml:space="preserve">(15) Regardless of any provisions in this section, if a person is being sentenced in adult court for a crime committed under age eighteen, the court has full discretion to depart from mandatory sentencing enhancements and to take the particular circumstances surrounding the defendant's youth into account.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10, 2020.</w:t>
      </w:r>
    </w:p>
    <w:p>
      <w:pPr>
        <w:spacing w:before="0" w:after="0" w:line="408" w:lineRule="exact"/>
        <w:ind w:left="0" w:right="0" w:firstLine="576"/>
        <w:jc w:val="left"/>
      </w:pPr>
      <w:r>
        <w:rPr/>
        <w:t xml:space="preserve">Passed by the House March 3, 2020.</w:t>
      </w:r>
    </w:p>
    <w:p>
      <w:pPr>
        <w:spacing w:before="0" w:after="0" w:line="408" w:lineRule="exact"/>
        <w:ind w:left="0" w:right="0" w:firstLine="576"/>
        <w:jc w:val="left"/>
      </w:pPr>
      <w:r>
        <w:rPr/>
        <w:t xml:space="preserve">Approved by the Governor March 25, 2020.</w:t>
      </w:r>
    </w:p>
    <w:p>
      <w:pPr>
        <w:spacing w:before="0" w:after="0" w:line="408" w:lineRule="exact"/>
        <w:ind w:left="0" w:right="0" w:firstLine="576"/>
        <w:jc w:val="left"/>
      </w:pPr>
      <w:r>
        <w:rPr/>
        <w:t xml:space="preserve">Filed in Office of Secretary of State March 26, 2020.</w:t>
      </w:r>
    </w:p>
    <w:sectPr>
      <w:pgNumType w:start="1"/>
      <w:footerReference xmlns:r="http://schemas.openxmlformats.org/officeDocument/2006/relationships" r:id="R6b5e31248291435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5488.SL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214651271a4ea4" /><Relationship Type="http://schemas.openxmlformats.org/officeDocument/2006/relationships/footer" Target="/word/footer1.xml" Id="R6b5e312482914358" /></Relationships>
</file>