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05f39de6343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5947</w:t>
      </w:r>
    </w:p>
    <w:p>
      <w:pPr>
        <w:jc w:val="center"/>
        <w:spacing w:before="480" w:after="0" w:line="240"/>
      </w:pPr>
      <w:r>
        <w:t xml:space="preserve">Chapter </w:t>
      </w:r>
      <w:r>
        <w:rPr/>
        <w:t xml:space="preserve">351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SUSTAINABLE FARMS AND FIELDS GRANT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74</w:t>
            </w:r>
            <w:r>
              <w:t xml:space="preserve">  Nays </w:t>
              <w:t xml:space="preserve">22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5947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2:00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5947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Schoesler, Palumbo, King, Salomon,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adding new sections to chapter 89.08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working agricultural lands are essential to the economic and social well-being of our rural communities and to the state's overall environment and economy. The legislature further finds that different challenges and opportunities exist to expand the use of precision agriculture for different crops in the state by assisting farmers, ranchers, and aquaculturists to purchase equipment and receive technical assistance to reduce their operations' carbon footprint while ensuring that crops and soils receive exactly what they need for optimum health and productivity. Moreover, the legislature finds that opportunities exist to enhance soil health through carbon farming and regenerative agriculture by increasing soil organic carbon levels while ensuring appropriate carbon to nitrogen ratios, and to store carbon in standing trees, seaweed, and other vegetation. Therefore, it is the intent of the legislature to provide cost-sharing competitive grant opportunities to enable farmers and ranchers to adopt practices that increase appropriate quantities of carbon stored in and above their soil and to initiate or expand the use of precision agriculture on their farms. This act seeks to leverage and enhance existing state and federal cost-sharing programs for farm, ranch, and aquaculture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requires otherwise.</w:t>
      </w:r>
    </w:p>
    <w:p>
      <w:pPr>
        <w:spacing w:before="0" w:after="0" w:line="408" w:lineRule="exact"/>
        <w:ind w:left="0" w:right="0" w:firstLine="576"/>
        <w:jc w:val="left"/>
      </w:pPr>
      <w:r>
        <w:rPr/>
        <w:t xml:space="preserve">(1)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rPr/>
        <w:t xml:space="preserve">(2)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rPr/>
        <w:t xml:space="preserve">(3) "Commission" means the Washington state conservation commission created in this chapter.</w:t>
      </w:r>
    </w:p>
    <w:p>
      <w:pPr>
        <w:spacing w:before="0" w:after="0" w:line="408" w:lineRule="exact"/>
        <w:ind w:left="0" w:right="0" w:firstLine="576"/>
        <w:jc w:val="left"/>
      </w:pPr>
      <w:r>
        <w:rPr/>
        <w:t xml:space="preserve">(4) "Conservation district" means one or a group of Washington state's conservation districts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fifteen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twenty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(g) Other equipment purchases or financial assistance deemed appropriate by the commission to fulfill the intent of sections 2 through 7 of this act.</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twenty-five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determine methods for measuring, estimating, and verifying outcomes under the sustainable farms and fields grant program in consultation with Washington State University, the department of agriculture, and the United States department of agriculture natural resources conservation service.</w:t>
      </w:r>
    </w:p>
    <w:p>
      <w:pPr>
        <w:spacing w:before="0" w:after="0" w:line="408" w:lineRule="exact"/>
        <w:ind w:left="0" w:right="0" w:firstLine="576"/>
        <w:jc w:val="left"/>
      </w:pPr>
      <w:r>
        <w:rPr/>
        <w:t xml:space="preserve">(2) The commission may require that a grant recipient allow the commission, or contractors hired by the commission, including the Washington State University extension program, access to the grant recipient's property, with reasonable notice, to monitor the results of the project or projects funded by the grant program on the grant recipient's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2021, and every two years thereafter, the commission shall report to the legislature and the governor on the performance of the sustainable farms and fields grant program.</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one hundred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section 3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89</w:t>
      </w:r>
      <w:r>
        <w:rPr/>
        <w:t xml:space="preserve">.</w:t>
      </w:r>
      <w:r>
        <w:t xml:space="preserve">08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public funds shall be awarded as grants under this act until public funds are appropriated specifically for the sustainable farms and fields grant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d179777dd9c47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5b3dae1134a3b" /><Relationship Type="http://schemas.openxmlformats.org/officeDocument/2006/relationships/footer" Target="/word/footer1.xml" Id="R8d179777dd9c4787" /></Relationships>
</file>