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9c50e6f6c48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6158</w:t>
      </w:r>
    </w:p>
    <w:p>
      <w:pPr>
        <w:jc w:val="center"/>
        <w:spacing w:before="480" w:after="0" w:line="240"/>
      </w:pPr>
      <w:r>
        <w:t xml:space="preserve">Chapter </w:t>
      </w:r>
      <w:r>
        <w:rPr/>
        <w:t xml:space="preserve">202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SEXUAL ASSAULT COORDINATED COMMUNITY RESPONSE TASK FORCE--MODEL HOSPITAL AND CLINIC PROTOCOLS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Dhingra, Cleveland, Wilson, C., Das, Darneille, Hunt, Keiser, Kuderer, Lovelett, Randall, Stanford, and Carlyle)</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model sexual assault protocols for hospitals and clinics;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nurses association;</w:t>
      </w:r>
    </w:p>
    <w:p>
      <w:pPr>
        <w:spacing w:before="0" w:after="0" w:line="408" w:lineRule="exact"/>
        <w:ind w:left="0" w:right="0" w:firstLine="576"/>
        <w:jc w:val="left"/>
      </w:pPr>
      <w:r>
        <w:rPr/>
        <w:t xml:space="preserve">(XI) The office of the attorney general;</w:t>
      </w:r>
    </w:p>
    <w:p>
      <w:pPr>
        <w:spacing w:before="0" w:after="0" w:line="408" w:lineRule="exact"/>
        <w:ind w:left="0" w:right="0" w:firstLine="576"/>
        <w:jc w:val="left"/>
      </w:pPr>
      <w:r>
        <w:rPr/>
        <w:t xml:space="preserve">(XII) The Washington state medical association; and</w:t>
      </w:r>
    </w:p>
    <w:p>
      <w:pPr>
        <w:spacing w:before="0" w:after="0" w:line="408" w:lineRule="exact"/>
        <w:ind w:left="0" w:right="0" w:firstLine="576"/>
        <w:jc w:val="left"/>
      </w:pPr>
      <w:r>
        <w:rPr/>
        <w:t xml:space="preserve">(XIII) The children's advocacy centers of Washington;</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(D) Two members representing sexual assault nurse examiners, one representative of a sexual assault nurse examiner serving an urban community, and one representative of a sexual assault nurse examiner serving a rural community;</w:t>
      </w:r>
    </w:p>
    <w:p>
      <w:pPr>
        <w:spacing w:before="0" w:after="0" w:line="408" w:lineRule="exact"/>
        <w:ind w:left="0" w:right="0" w:firstLine="576"/>
        <w:jc w:val="left"/>
      </w:pPr>
      <w:r>
        <w:rPr/>
        <w:t xml:space="preserve">(E) Two members representing children's advocacy centers, one representative from a center serving an urban community, and one representative from a center serving a rural community.</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86c5c4bb04cc4d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ce978c1224732" /><Relationship Type="http://schemas.openxmlformats.org/officeDocument/2006/relationships/footer" Target="/word/footer1.xml" Id="R86c5c4bb04cc4d2c" /></Relationships>
</file>