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0a4f843e5642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6205</w:t>
      </w:r>
    </w:p>
    <w:p>
      <w:pPr>
        <w:jc w:val="center"/>
        <w:spacing w:before="480" w:after="0" w:line="240"/>
      </w:pPr>
      <w:r>
        <w:t xml:space="preserve">Chapter </w:t>
      </w:r>
      <w:r>
        <w:rPr/>
        <w:t xml:space="preserve">309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LONG-TERM CARE WORKERS--HARASSMENT, ABUSE, AND DISCRIMINATION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40</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74</w:t>
            </w:r>
            <w:r>
              <w:t xml:space="preserve">  Nays </w:t>
              <w:t xml:space="preserve">23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6205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Cleveland, Conway, Randall, Keiser, Mullet, Frockt, Billig, Saldaña, Dhingra, Van De Wege, Hunt, Kuderer, Lovelett, Stanford,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physical aggression,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(b) If a workplace safety committee does not have the requisite number of employee-elected members or service recipient representatives because employees or service recipient representatives do not wish to participate in the workplace safety committee, the covered employer will be considered in compliance with the requirement to have a workplace safety committee if the covered employer has documented evidence showing it was unable to get employees or a service recipient representative to participate in the workplace safety committee.</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As part of its annual review, the workplace safety committee must also review the number of miscategorizations in aggregate.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(2)(a)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(b) Upon request of the service recipient, a covered employer must provide a copy of the information the covered employer communicated to the employee under subsection (1) of this section.</w:t>
      </w:r>
    </w:p>
    <w:p>
      <w:pPr>
        <w:spacing w:before="0" w:after="0" w:line="408" w:lineRule="exact"/>
        <w:ind w:left="0" w:right="0" w:firstLine="576"/>
        <w:jc w:val="left"/>
      </w:pPr>
      <w:r>
        <w:rPr/>
        <w:t xml:space="preserve">(3) If a covered employer miscategorizes an instance as discrimination or abusive conduct that should have been categorized as challenging behavior, or if a covered employer miscategorizes an instance as challenging behavior that should have been categorized as discrimination or abusive conduct, the covered employer must correct the categorization, correct how the instance was reported under section 6 of this act, and comply with any provisions under this chapter applicable to addressing the behavior or conduct.</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(5)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or reducing hours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(6)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 Covered employers must make anonymized aggregate data of reported incidents available to the work group created under section 7 of this act.</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0" w:after="0" w:line="408" w:lineRule="exact"/>
        <w:ind w:left="0" w:right="0" w:firstLine="576"/>
        <w:jc w:val="left"/>
      </w:pPr>
      <w:r>
        <w:rPr/>
        <w:t xml:space="preserve">(4) Communication of the information in this section must be tailored to respect the privacy of service recipients in accordance with the federal health insurance portability and accountability act of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shall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reduce interruptions to the provision of personal care;</w:t>
      </w:r>
    </w:p>
    <w:p>
      <w:pPr>
        <w:spacing w:before="0" w:after="0" w:line="408" w:lineRule="exact"/>
        <w:ind w:left="0" w:right="0" w:firstLine="576"/>
        <w:jc w:val="left"/>
      </w:pPr>
      <w:r>
        <w:rPr/>
        <w:t xml:space="preserve">(j) How incorporating person-centered planning practices could minimize challenging behaviors and reduce interruptions to the provision of personal care;</w:t>
      </w:r>
    </w:p>
    <w:p>
      <w:pPr>
        <w:spacing w:before="0" w:after="0" w:line="408" w:lineRule="exact"/>
        <w:ind w:left="0" w:right="0" w:firstLine="576"/>
        <w:jc w:val="left"/>
      </w:pPr>
      <w:r>
        <w:rPr/>
        <w:t xml:space="preserve">(k) Best practices for documenting and reporting incidents;</w:t>
      </w:r>
    </w:p>
    <w:p>
      <w:pPr>
        <w:spacing w:before="0" w:after="0" w:line="408" w:lineRule="exact"/>
        <w:ind w:left="0" w:right="0" w:firstLine="576"/>
        <w:jc w:val="left"/>
      </w:pPr>
      <w:r>
        <w:rPr/>
        <w:t xml:space="preserve">(l) The debriefing process for affected employees following violent acts;</w:t>
      </w:r>
    </w:p>
    <w:p>
      <w:pPr>
        <w:spacing w:before="0" w:after="0" w:line="408" w:lineRule="exact"/>
        <w:ind w:left="0" w:right="0" w:firstLine="576"/>
        <w:jc w:val="left"/>
      </w:pPr>
      <w:r>
        <w:rPr/>
        <w:t xml:space="preserve">(m) Resources available to employees for coping with the effects of violence;</w:t>
      </w:r>
    </w:p>
    <w:p>
      <w:pPr>
        <w:spacing w:before="0" w:after="0" w:line="408" w:lineRule="exact"/>
        <w:ind w:left="0" w:right="0" w:firstLine="576"/>
        <w:jc w:val="left"/>
      </w:pPr>
      <w:r>
        <w:rPr/>
        <w:t xml:space="preserve">(n) Culturally competent peer-to-peer training for the prevention of discrimination and abusive conduct;</w:t>
      </w:r>
    </w:p>
    <w:p>
      <w:pPr>
        <w:spacing w:before="0" w:after="0" w:line="408" w:lineRule="exact"/>
        <w:ind w:left="0" w:right="0" w:firstLine="576"/>
        <w:jc w:val="left"/>
      </w:pPr>
      <w:r>
        <w:rPr/>
        <w:t xml:space="preserve">(o) Best practices for training service recipients on preventing discrimination and abusive conduct in the home care setting;</w:t>
      </w:r>
    </w:p>
    <w:p>
      <w:pPr>
        <w:spacing w:before="0" w:after="0" w:line="408" w:lineRule="exact"/>
        <w:ind w:left="0" w:right="0" w:firstLine="576"/>
        <w:jc w:val="left"/>
      </w:pPr>
      <w:r>
        <w:rPr/>
        <w:t xml:space="preserve">(p)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(q) Recommended best practices for workplace safety committees referenced in section 4 of this act and recommended topics to be included in prevention plans required in section 4 of this act;</w:t>
      </w:r>
    </w:p>
    <w:p>
      <w:pPr>
        <w:spacing w:before="0" w:after="0" w:line="408" w:lineRule="exact"/>
        <w:ind w:left="0" w:right="0" w:firstLine="576"/>
        <w:jc w:val="left"/>
      </w:pPr>
      <w:r>
        <w:rPr/>
        <w:t xml:space="preserve">(r)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(s)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minimize challenging behaviors, and reduce interruptions to the provision of personal care. The report must also address issues regarding the continuation of collecting and reviewing data, the future role of the work group, and how the work group is measuring the efficacy of its recommendations.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5(4)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2b358dcd3d24c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2afa915ad4286" /><Relationship Type="http://schemas.openxmlformats.org/officeDocument/2006/relationships/footer" Target="/word/footer1.xml" Id="R62b358dcd3d24c75" /></Relationships>
</file>