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82a7b771c748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6229</w:t>
      </w:r>
    </w:p>
    <w:p>
      <w:pPr>
        <w:jc w:val="center"/>
        <w:spacing w:before="480" w:after="0" w:line="240"/>
      </w:pPr>
      <w:r>
        <w:t xml:space="preserve">Chapter </w:t>
      </w:r>
      <w:r>
        <w:rPr/>
        <w:t xml:space="preserve">155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RECIPIENTS OF HOUSING-RELATED STATE FUNDING--WASHINGTON STATE QUALITY AWARD PROGRAM</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31</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91</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6229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Kuderer and Wilson, C.; by request of Department of Commerce</w:t>
      </w:r>
    </w:p>
    <w:p/>
    <w:p>
      <w:r>
        <w:rPr>
          <w:t xml:space="preserve">Prefiled 01/10/20.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reporting for recipients of housing-related state funding by removing Washington state quality award program requirements; and amending RCW 43.185C.210.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2011 c 353 s 6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w:t>
      </w:r>
      <w:r>
        <w:t>((</w:t>
      </w:r>
      <w:r>
        <w:rPr>
          <w:strike/>
        </w:rPr>
        <w:t xml:space="preserve">(a) Except as provided in (b) of this subsection, beginning in 2011, each eligible organization receiving over five hundred thousand dollars during the previous calendar year from the transitional housing operating and rent program and from sources including: (i) State housing-related funding sources; (ii) the affordable housing for all surcharge in RCW 36.22.178; (iii) the home security fund surcharges in RCW 36.22.179 and 36.22.1791; and (iv) any other surcharge imposed under chapter 36.22 or 43.185C RCW to fund homelessness programs or other housing programs, shall apply to the Washington state quality award program for an independent assessment of its quality management, accountability, and performance system, once every three years.</w:t>
      </w:r>
    </w:p>
    <w:p>
      <w:pPr>
        <w:spacing w:before="0" w:after="0" w:line="408" w:lineRule="exact"/>
        <w:ind w:left="0" w:right="0" w:firstLine="576"/>
        <w:jc w:val="left"/>
      </w:pPr>
      <w:r>
        <w:rPr>
          <w:strike/>
        </w:rPr>
        <w:t xml:space="preserve">(b) Cities and counties are exempt from the provisions of (a) of this subsection until 2018.</w:t>
      </w:r>
    </w:p>
    <w:p>
      <w:pPr>
        <w:spacing w:before="0" w:after="0" w:line="408" w:lineRule="exact"/>
        <w:ind w:left="0" w:right="0" w:firstLine="576"/>
        <w:jc w:val="left"/>
      </w:pPr>
      <w:r>
        <w:rPr>
          <w:strike/>
        </w:rPr>
        <w:t xml:space="preserve">(6)</w:t>
      </w:r>
      <w:r>
        <w:t>))</w:t>
      </w:r>
      <w:r>
        <w:rPr/>
        <w:t xml:space="preserve">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75eaa0158d2f474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1acff8688a4470" /><Relationship Type="http://schemas.openxmlformats.org/officeDocument/2006/relationships/footer" Target="/word/footer1.xml" Id="R75eaa0158d2f4745" /></Relationships>
</file>