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b4f87d662146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6551</w:t>
      </w:r>
    </w:p>
    <w:p>
      <w:pPr>
        <w:jc w:val="center"/>
        <w:spacing w:before="480" w:after="0" w:line="240"/>
      </w:pPr>
      <w:r>
        <w:t xml:space="preserve">Chapter </w:t>
      </w:r>
      <w:r>
        <w:rPr/>
        <w:t xml:space="preserve">325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INTERNATIONAL MEDICAL GRADUATES--VARIOUS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27</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66</w:t>
            </w:r>
            <w:r>
              <w:t xml:space="preserve">  Nays </w:t>
              <w:t xml:space="preserve">30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6551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6551</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Stanford, Saldaña, Darneille, Dhingra, Frockt, Hasegawa, and Wilson, C.</w:t>
      </w:r>
    </w:p>
    <w:p/>
    <w:p>
      <w:r>
        <w:rPr>
          <w:t xml:space="preserve">Read first time 01/22/20.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international medical graduates into Washington's health care delivery system; amending RCW 18.71.051 and 18.71.095; adding new sections to chapter 18.71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international medical graduate implementation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commission;</w:t>
      </w:r>
    </w:p>
    <w:p>
      <w:pPr>
        <w:spacing w:before="0" w:after="0" w:line="408" w:lineRule="exact"/>
        <w:ind w:left="0" w:right="0" w:firstLine="576"/>
        <w:jc w:val="left"/>
      </w:pPr>
      <w:r>
        <w:rPr/>
        <w:t xml:space="preserve">(b) A representative from the department of health, health systems quality assurance division;</w:t>
      </w:r>
    </w:p>
    <w:p>
      <w:pPr>
        <w:spacing w:before="0" w:after="0" w:line="408" w:lineRule="exact"/>
        <w:ind w:left="0" w:right="0" w:firstLine="576"/>
        <w:jc w:val="left"/>
      </w:pPr>
      <w:r>
        <w:rPr/>
        <w:t xml:space="preserve">(c) A representative from the University of Washington school of medicine graduate medical education program;</w:t>
      </w:r>
    </w:p>
    <w:p>
      <w:pPr>
        <w:spacing w:before="0" w:after="0" w:line="408" w:lineRule="exact"/>
        <w:ind w:left="0" w:right="0" w:firstLine="576"/>
        <w:jc w:val="left"/>
      </w:pPr>
      <w:r>
        <w:rPr/>
        <w:t xml:space="preserve">(d) A representative from the Washington State University Elson S. Floyd college of medicine graduate medical education program;</w:t>
      </w:r>
    </w:p>
    <w:p>
      <w:pPr>
        <w:spacing w:before="0" w:after="0" w:line="408" w:lineRule="exact"/>
        <w:ind w:left="0" w:right="0" w:firstLine="576"/>
        <w:jc w:val="left"/>
      </w:pPr>
      <w:r>
        <w:rPr/>
        <w:t xml:space="preserve">(e) A representative from the Pacific Northwest University of Health Sciences college of osteopathic medicine graduate medical education program;</w:t>
      </w:r>
    </w:p>
    <w:p>
      <w:pPr>
        <w:spacing w:before="0" w:after="0" w:line="408" w:lineRule="exact"/>
        <w:ind w:left="0" w:right="0" w:firstLine="576"/>
        <w:jc w:val="left"/>
      </w:pPr>
      <w:r>
        <w:rPr/>
        <w:t xml:space="preserve">(f) A representative from a statewide association representing physicians;</w:t>
      </w:r>
    </w:p>
    <w:p>
      <w:pPr>
        <w:spacing w:before="0" w:after="0" w:line="408" w:lineRule="exact"/>
        <w:ind w:left="0" w:right="0" w:firstLine="576"/>
        <w:jc w:val="left"/>
      </w:pPr>
      <w:r>
        <w:rPr/>
        <w:t xml:space="preserve">(g) A representative from the Washington state family medicine residency network;</w:t>
      </w:r>
    </w:p>
    <w:p>
      <w:pPr>
        <w:spacing w:before="0" w:after="0" w:line="408" w:lineRule="exact"/>
        <w:ind w:left="0" w:right="0" w:firstLine="576"/>
        <w:jc w:val="left"/>
      </w:pPr>
      <w:r>
        <w:rPr/>
        <w:t xml:space="preserve">(h) A representative from a primary care health care employer in a rural or underserved area of Washington;</w:t>
      </w:r>
    </w:p>
    <w:p>
      <w:pPr>
        <w:spacing w:before="0" w:after="0" w:line="408" w:lineRule="exact"/>
        <w:ind w:left="0" w:right="0" w:firstLine="576"/>
        <w:jc w:val="left"/>
      </w:pPr>
      <w:r>
        <w:rPr/>
        <w:t xml:space="preserve">(i) A representative from a health carrier offering coverage in a rural or underserved area of Washington;</w:t>
      </w:r>
    </w:p>
    <w:p>
      <w:pPr>
        <w:spacing w:before="0" w:after="0" w:line="408" w:lineRule="exact"/>
        <w:ind w:left="0" w:right="0" w:firstLine="576"/>
        <w:jc w:val="left"/>
      </w:pPr>
      <w:r>
        <w:rPr/>
        <w:t xml:space="preserve">(j) A licensed physician with experience working with international medical graduates;</w:t>
      </w:r>
    </w:p>
    <w:p>
      <w:pPr>
        <w:spacing w:before="0" w:after="0" w:line="408" w:lineRule="exact"/>
        <w:ind w:left="0" w:right="0" w:firstLine="576"/>
        <w:jc w:val="left"/>
      </w:pPr>
      <w:r>
        <w:rPr/>
        <w:t xml:space="preserve">(k) A representative from an organization specializing in refugee advocacy in Washington;</w:t>
      </w:r>
    </w:p>
    <w:p>
      <w:pPr>
        <w:spacing w:before="0" w:after="0" w:line="408" w:lineRule="exact"/>
        <w:ind w:left="0" w:right="0" w:firstLine="576"/>
        <w:jc w:val="left"/>
      </w:pPr>
      <w:r>
        <w:rPr/>
        <w:t xml:space="preserve">(l) A representative from an organization serving refugee physicians and international medical graduates;</w:t>
      </w:r>
    </w:p>
    <w:p>
      <w:pPr>
        <w:spacing w:before="0" w:after="0" w:line="408" w:lineRule="exact"/>
        <w:ind w:left="0" w:right="0" w:firstLine="576"/>
        <w:jc w:val="left"/>
      </w:pPr>
      <w:r>
        <w:rPr/>
        <w:t xml:space="preserve">(m) A representative from an organization offering counseling and educational programs to internationally trained health professionals;</w:t>
      </w:r>
    </w:p>
    <w:p>
      <w:pPr>
        <w:spacing w:before="0" w:after="0" w:line="408" w:lineRule="exact"/>
        <w:ind w:left="0" w:right="0" w:firstLine="576"/>
        <w:jc w:val="left"/>
      </w:pPr>
      <w:r>
        <w:rPr/>
        <w:t xml:space="preserve">(n) A representative from an organization representing community and migrant health centers; and</w:t>
      </w:r>
    </w:p>
    <w:p>
      <w:pPr>
        <w:spacing w:before="0" w:after="0" w:line="408" w:lineRule="exact"/>
        <w:ind w:left="0" w:right="0" w:firstLine="576"/>
        <w:jc w:val="left"/>
      </w:pPr>
      <w:r>
        <w:rPr/>
        <w:t xml:space="preserve">(o) At least two international medical graduates.</w:t>
      </w:r>
    </w:p>
    <w:p>
      <w:pPr>
        <w:spacing w:before="0" w:after="0" w:line="408" w:lineRule="exact"/>
        <w:ind w:left="0" w:right="0" w:firstLine="576"/>
        <w:jc w:val="left"/>
      </w:pPr>
      <w:r>
        <w:rPr/>
        <w:t xml:space="preserve">(2) Staff support for the work group must be provided by the department of health.</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Propose clinical readiness criteria for international medical graduates using published benchmarks for medical school graduation or residency admission;</w:t>
      </w:r>
    </w:p>
    <w:p>
      <w:pPr>
        <w:spacing w:before="0" w:after="0" w:line="408" w:lineRule="exact"/>
        <w:ind w:left="0" w:right="0" w:firstLine="576"/>
        <w:jc w:val="left"/>
      </w:pPr>
      <w:r>
        <w:rPr/>
        <w:t xml:space="preserve">(b) Propose a grant award process for distributing funds for approved entities to provide career guidance and clinical training to international medical graduates;</w:t>
      </w:r>
    </w:p>
    <w:p>
      <w:pPr>
        <w:spacing w:before="0" w:after="0" w:line="408" w:lineRule="exact"/>
        <w:ind w:left="0" w:right="0" w:firstLine="576"/>
        <w:jc w:val="left"/>
      </w:pPr>
      <w:r>
        <w:rPr/>
        <w:t xml:space="preserve">(c) Propose an evaluation process to grant a hardship waiver to international medical graduates who cannot provide all necessary documentation for licensure due to circumstances outside their control; and</w:t>
      </w:r>
    </w:p>
    <w:p>
      <w:pPr>
        <w:spacing w:before="0" w:after="0" w:line="408" w:lineRule="exact"/>
        <w:ind w:left="0" w:right="0" w:firstLine="576"/>
        <w:jc w:val="left"/>
      </w:pPr>
      <w:r>
        <w:rPr/>
        <w:t xml:space="preserve">(d) Provide policy recommendations to the legislature.</w:t>
      </w:r>
    </w:p>
    <w:p>
      <w:pPr>
        <w:spacing w:before="0" w:after="0" w:line="408" w:lineRule="exact"/>
        <w:ind w:left="0" w:right="0" w:firstLine="576"/>
        <w:jc w:val="left"/>
      </w:pPr>
      <w:r>
        <w:rPr/>
        <w:t xml:space="preserve">(4) The work group must submit an annual report to the legislature by June 30, 2021, and yearly thereafter.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Based on recommendations from the international medical graduate implementation work group, the commission shall adopt a clinical assessment to determine the readiness of international medical graduates to apply and serve in residency programs and adopt a grant award process for distributing funds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Subject to appropriation by the legislature and donations received from public and private entities, the department of health shall award grant funding to:</w:t>
      </w:r>
    </w:p>
    <w:p>
      <w:pPr>
        <w:spacing w:before="0" w:after="0" w:line="408" w:lineRule="exact"/>
        <w:ind w:left="0" w:right="0" w:firstLine="576"/>
        <w:jc w:val="left"/>
      </w:pPr>
      <w:r>
        <w:rPr/>
        <w:t xml:space="preserve">(1) Approved entities for career guidance and support services to international medical graduates including, but not limited to, assistance with educational commission for foreign medical graduates certification application and United States medical licensing examination preparation; and</w:t>
      </w:r>
    </w:p>
    <w:p>
      <w:pPr>
        <w:spacing w:before="0" w:after="0" w:line="408" w:lineRule="exact"/>
        <w:ind w:left="0" w:right="0" w:firstLine="576"/>
        <w:jc w:val="left"/>
      </w:pPr>
      <w:r>
        <w:rPr/>
        <w:t xml:space="preserve">(2) Health care facilities or clinical programs to provide supervised clinical training to international medical graduates.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051</w:t>
      </w:r>
      <w:r>
        <w:rPr/>
        <w:t xml:space="preserve"> and 2011 c 138 s 1 are each amended to read as follows:</w:t>
      </w:r>
    </w:p>
    <w:p>
      <w:pPr>
        <w:spacing w:before="0" w:after="0" w:line="408" w:lineRule="exact"/>
        <w:ind w:left="0" w:right="0" w:firstLine="576"/>
        <w:jc w:val="left"/>
      </w:pPr>
      <w:r>
        <w:rPr>
          <w:u w:val="single"/>
        </w:rPr>
        <w:t xml:space="preserve">(1)</w:t>
      </w:r>
      <w:r>
        <w:rPr/>
        <w:t xml:space="preserve"> Applicants for licensure to practice medicine who have graduated from a school of medicine located outside of the states, territories, and possessions of the United States, the District of Columbia, or the Dominion of Canada, shall file an application for licensure with the commission on a form prepared by the secretary with the approval of the commission. Each applicant shall furnish proof satisfactory to the commission of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That he or she has completed in a school of medicine a resident course of professional instruction equivalent to that required in this chapter for applicants generally;</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Except as provided in (b)</w:t>
      </w:r>
      <w:r>
        <w:rPr>
          <w:u w:val="single"/>
        </w:rPr>
        <w:t xml:space="preserve">(ii)</w:t>
      </w:r>
      <w:r>
        <w:rPr/>
        <w:t xml:space="preserve"> of this subsection, that he or she meets all the requirements which must be met by graduates of the United States and Canadian school of medicine except that he or she need not have graduated from a school of medicine approved by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applicant for licensure under this section is not required to meet the requirements of RCW 18.71.050(1)(b) if he or she furnishes proof satisfactory to the commission that he or she has:</w:t>
      </w:r>
    </w:p>
    <w:p>
      <w:pPr>
        <w:spacing w:before="0" w:after="0" w:line="408" w:lineRule="exact"/>
        <w:ind w:left="0" w:right="0" w:firstLine="576"/>
        <w:jc w:val="left"/>
      </w:pPr>
      <w:r>
        <w:t>((</w:t>
      </w:r>
      <w:r>
        <w:rPr>
          <w:strike/>
        </w:rPr>
        <w:t xml:space="preserve">(i)(A)</w:t>
      </w:r>
      <w:r>
        <w:t>))</w:t>
      </w:r>
      <w:r>
        <w:rPr/>
        <w:t xml:space="preserve"> </w:t>
      </w:r>
      <w:r>
        <w:rPr>
          <w:u w:val="single"/>
        </w:rPr>
        <w:t xml:space="preserve">(A)(I)</w:t>
      </w:r>
      <w:r>
        <w:rPr/>
        <w:t xml:space="preserve"> Been admitted as a permanent immigrant to the United States as a person of exceptional ability in sciences pursuant to the rules of the United States department of labor;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Been issued a permanent immigration visa;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Received multiple sclerosis certified specialist status from the consortium of multiple sclerosis centers;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Successfully completed at least twenty-four months of training in multiple sclerosis at an educational institution in the United States with an accredited residency program in neurology or rehabilitation;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That he or she has satisfactorily passed the examination given by the educational council for foreign medical graduates or has met the requirements in lieu thereof as set forth in rules adopted by the commission;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That he or she has the ability to read, write, speak, understand, and be understood in the English language.</w:t>
      </w:r>
    </w:p>
    <w:p>
      <w:pPr>
        <w:spacing w:before="0" w:after="0" w:line="408" w:lineRule="exact"/>
        <w:ind w:left="0" w:right="0" w:firstLine="576"/>
        <w:jc w:val="left"/>
      </w:pPr>
      <w:r>
        <w:rPr>
          <w:u w:val="single"/>
        </w:rPr>
        <w:t xml:space="preserve">(2) An applicant may obtain an exceptional qualification waiver, waiving requirements determined by the commission in rule, if they possess an acceptable body of work related to research, medical excellence, or employment, and have the recommendation of other national or international experts in the same specialty or field.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2017 c 45 s 1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 or the secretary of corrections, issue a limited license to practice medicine in this state to persons who have been accepted for employment by the department of social and health services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an accredited school of medicine in the state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The holder of a teaching research license under this subsection (4)(a) is eligible for full licensure if the following conditions are met:</w:t>
      </w:r>
    </w:p>
    <w:p>
      <w:pPr>
        <w:spacing w:before="0" w:after="0" w:line="408" w:lineRule="exact"/>
        <w:ind w:left="0" w:right="0" w:firstLine="576"/>
        <w:jc w:val="left"/>
      </w:pPr>
      <w:r>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t xml:space="preserve">(ii) The applicant has successfully completed the exam requirements set forth by the commission by rule;</w:t>
      </w:r>
    </w:p>
    <w:p>
      <w:pPr>
        <w:spacing w:before="0" w:after="0" w:line="408" w:lineRule="exact"/>
        <w:ind w:left="0" w:right="0" w:firstLine="576"/>
        <w:jc w:val="left"/>
      </w:pPr>
      <w:r>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an accredited school of medicine in the state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0" w:after="0" w:line="408" w:lineRule="exact"/>
        <w:ind w:left="0" w:right="0" w:firstLine="576"/>
        <w:jc w:val="left"/>
      </w:pPr>
      <w:r>
        <w:rPr>
          <w:u w:val="single"/>
        </w:rPr>
        <w:t xml:space="preserve">(5) The commission may issue a time-limited clinical experience license to an applicant who does not qualify for licensure under RCW 18.71.050 or chapter 18.71B RCW and who meets the requirements established by the commission in rule for the purpose of gaining clinical experience at an approved facility or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cc62378b48d5486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7cc19f7c1a47ec" /><Relationship Type="http://schemas.openxmlformats.org/officeDocument/2006/relationships/footer" Target="/word/footer1.xml" Id="Rcc62378b48d54865" /></Relationships>
</file>