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4308e842c4e52"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DYEM</w:t>
        </w:r>
      </w:r>
      <w:r>
        <w:rPr>
          <w:b/>
        </w:rPr>
        <w:t xml:space="preserve"> </w:t>
        <w:r>
          <w:rPr/>
          <w:t xml:space="preserve">H1159.1</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186</w:t>
      </w:r>
    </w:p>
    <w:p>
      <w:pPr>
        <w:spacing w:before="0" w:after="0" w:line="408" w:lineRule="exact"/>
        <w:ind w:left="0" w:right="0" w:firstLine="576"/>
        <w:jc w:val="left"/>
      </w:pPr>
      <w:r>
        <w:rPr/>
        <w:t xml:space="preserve">By Representative Dye</w:t>
      </w:r>
    </w:p>
    <w:p>
      <w:pPr>
        <w:jc w:val="right"/>
      </w:pPr>
      <w:r>
        <w:rPr>
          <w:b/>
        </w:rPr>
        <w:t xml:space="preserve">WITHDRAWN 02/27/2021</w:t>
      </w:r>
    </w:p>
    <w:p>
      <w:pPr>
        <w:spacing w:before="0" w:after="0" w:line="408" w:lineRule="exact"/>
        <w:ind w:left="0" w:right="0" w:firstLine="576"/>
        <w:jc w:val="left"/>
      </w:pPr>
      <w:r>
        <w:rPr/>
        <w:t xml:space="preserve">Beginning on page 1, line 8, after "(1)" strike all material through "constitute" on page 31, line 9, and insert "By December 1, 2021, the department of ecology must submit a report to the appropriate committees of the legislature analyzing the least cost policy options to achieve 4,000,000 metric tons of carbon dioxide reduction annually by the year 2030. Options that the department of ecology must consider in its report to the legislature include the purchase of credits in voluntary carbon markets or carbon markets established in other jurisdictions that denote the reduction or sequestration of greenhouse gases associated with transportation.</w:t>
      </w:r>
    </w:p>
    <w:p>
      <w:pPr>
        <w:spacing w:before="0" w:after="0" w:line="408" w:lineRule="exact"/>
        <w:ind w:left="0" w:right="0" w:firstLine="576"/>
        <w:jc w:val="left"/>
      </w:pPr>
      <w:r>
        <w:rPr/>
        <w:t xml:space="preserve">(2) The report to the legislature must include a ranking of policy options considered, relative to one another, by:</w:t>
      </w:r>
    </w:p>
    <w:p>
      <w:pPr>
        <w:spacing w:before="0" w:after="0" w:line="408" w:lineRule="exact"/>
        <w:ind w:left="0" w:right="0" w:firstLine="576"/>
        <w:jc w:val="left"/>
      </w:pPr>
      <w:r>
        <w:rPr/>
        <w:t xml:space="preserve">(a) Cost per ton of emissions reductions;</w:t>
      </w:r>
    </w:p>
    <w:p>
      <w:pPr>
        <w:spacing w:before="0" w:after="0" w:line="408" w:lineRule="exact"/>
        <w:ind w:left="0" w:right="0" w:firstLine="576"/>
        <w:jc w:val="left"/>
      </w:pPr>
      <w:r>
        <w:rPr/>
        <w:t xml:space="preserve">(b) Immediacy of the reduction of greenhouse gas emissions; and</w:t>
      </w:r>
    </w:p>
    <w:p>
      <w:pPr>
        <w:spacing w:before="0" w:after="0" w:line="408" w:lineRule="exact"/>
        <w:ind w:left="0" w:right="0" w:firstLine="576"/>
        <w:jc w:val="left"/>
      </w:pPr>
      <w:r>
        <w:rPr/>
        <w:t xml:space="preserve">(c) Environmental and racial justice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Section 1 of this act constitutes"</w:t>
      </w:r>
    </w:p>
    <w:p>
      <w:pPr>
        <w:spacing w:before="0" w:after="0" w:line="408" w:lineRule="exact"/>
        <w:ind w:left="0" w:right="0" w:firstLine="576"/>
        <w:jc w:val="left"/>
      </w:pPr>
      <w:r>
        <w:rPr/>
        <w:t xml:space="preserve">Renumber the remaining subsections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Strikes the authority for the Department of Ecology to implement a Clean Fuels Program. Directs the Department of Ecology to study and report to the Legislature by December 1, 2021, on the least cost options to reduce greenhouse gas emissions by 4 million metric tons by the year 2030, and to rank those options by cost per ton of emissions reductions, the immediacy of emissions reductions, and racial and social justice impacts.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31d4f8a3e8462d" /></Relationships>
</file>