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1e6a15f3f94d6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1091-S3</w:t>
        </w:r>
      </w:r>
      <w:r>
        <w:rPr>
          <w:b/>
        </w:rPr>
        <w:t xml:space="preserve"> </w:t>
        <w:t xml:space="preserve">AMH</w:t>
      </w:r>
      <w:r>
        <w:rPr>
          <w:b/>
        </w:rPr>
        <w:t xml:space="preserve"> </w:t>
        <w:r>
          <w:rPr/>
          <w:t xml:space="preserve">MAYC</w:t>
        </w:r>
      </w:r>
      <w:r>
        <w:rPr>
          <w:b/>
        </w:rPr>
        <w:t xml:space="preserve"> </w:t>
        <w:r>
          <w:rPr/>
          <w:t xml:space="preserve">H1131.1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3SHB 1091</w:t>
      </w:r>
      <w:r>
        <w:t xml:space="preserve"> -</w:t>
      </w:r>
      <w:r>
        <w:t xml:space="preserve"> </w:t>
        <w:t xml:space="preserve">H AMD</w:t>
      </w:r>
      <w:r>
        <w:t xml:space="preserve"> </w:t>
      </w:r>
      <w:r>
        <w:rPr>
          <w:b/>
        </w:rPr>
        <w:t xml:space="preserve">119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Representative Maycumber</w:t>
      </w:r>
    </w:p>
    <w:p>
      <w:pPr>
        <w:jc w:val="right"/>
      </w:pPr>
      <w:r>
        <w:rPr>
          <w:b/>
        </w:rPr>
        <w:t xml:space="preserve">WITHDRAWN 02/27/2021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11, after "locomotives;" strike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13, after "equipment" insert ";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Dyed special fuel used for agricultural purposes exempt from chapter 82.38 RCW"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line 18, after "logs;" insert "and"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beginning on line 23, after "operations" strike all material through "RCW" on line 25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Eliminates the 2028 expiration of the exemption from Clean Fuels Program requirements for dyed diesel fuel used for agricultural purposes that is exempt from motor vehicle fuel tax.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04373667c94fc3" /></Relationships>
</file>