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654EE" w14:paraId="4364479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7430">
            <w:t>1091-S3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74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7430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743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7430">
            <w:t>059</w:t>
          </w:r>
        </w:sdtContent>
      </w:sdt>
    </w:p>
    <w:p w:rsidR="00DF5D0E" w:rsidP="00B73E0A" w:rsidRDefault="00AA1230" w14:paraId="791AB9F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54EE" w14:paraId="115CA088" w14:textId="7E3F07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7430">
            <w:rPr>
              <w:b/>
              <w:u w:val="single"/>
            </w:rPr>
            <w:t>3SHB 1091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74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</w:t>
          </w:r>
        </w:sdtContent>
      </w:sdt>
    </w:p>
    <w:p w:rsidR="00DF5D0E" w:rsidP="00605C39" w:rsidRDefault="009654EE" w14:paraId="2987419F" w14:textId="63C8FF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7430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7430" w14:paraId="44ED3DCA" w14:textId="44755F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02/27/2021</w:t>
          </w:r>
        </w:p>
      </w:sdtContent>
    </w:sdt>
    <w:p w:rsidR="00987430" w:rsidP="00C8108C" w:rsidRDefault="00DE256E" w14:paraId="5C683DBB" w14:textId="5D602886">
      <w:pPr>
        <w:pStyle w:val="Page"/>
      </w:pPr>
      <w:bookmarkStart w:name="StartOfAmendmentBody" w:id="0"/>
      <w:bookmarkEnd w:id="0"/>
      <w:permStart w:edGrp="everyone" w:id="976693381"/>
      <w:r>
        <w:tab/>
      </w:r>
      <w:r w:rsidR="00987430">
        <w:t xml:space="preserve">On page </w:t>
      </w:r>
      <w:r w:rsidR="00D451EB">
        <w:t xml:space="preserve">11, after line 3, insert the following: </w:t>
      </w:r>
    </w:p>
    <w:p w:rsidRPr="00330A72" w:rsidR="00D451EB" w:rsidP="00D451EB" w:rsidRDefault="00D451EB" w14:paraId="46F282E3" w14:textId="76B5645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>
        <w:tab/>
        <w:t>"</w:t>
      </w:r>
      <w:r w:rsidRPr="00330A72">
        <w:t xml:space="preserve">(4) </w:t>
      </w:r>
      <w:r w:rsidRPr="00330A72">
        <w:rPr>
          <w:rFonts w:eastAsia="Times New Roman"/>
          <w:szCs w:val="20"/>
        </w:rPr>
        <w:t>The department may not allow credits to be earned for fuels that are extracted or produced in a country that has not been certified as eligible by the department of</w:t>
      </w:r>
      <w:bookmarkStart w:name="searchTermHit" w:id="1"/>
      <w:r w:rsidR="0074674C">
        <w:rPr>
          <w:rFonts w:eastAsia="Times New Roman"/>
          <w:szCs w:val="20"/>
        </w:rPr>
        <w:t xml:space="preserve"> labor</w:t>
      </w:r>
      <w:r w:rsidRPr="00330A72" w:rsidR="0074674C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and industries. By December 1, 2021, the department</w:t>
      </w:r>
      <w:r w:rsidRPr="00330A72" w:rsidR="00330A72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of</w:t>
      </w:r>
      <w:r w:rsidR="0074674C">
        <w:rPr>
          <w:rFonts w:eastAsia="Times New Roman"/>
          <w:szCs w:val="20"/>
        </w:rPr>
        <w:t xml:space="preserve"> labor</w:t>
      </w:r>
      <w:r w:rsidRPr="00330A72" w:rsidR="0074674C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and industries must publish a list of countries whose extracted or produced fuels are eligible to generate credits under the program. The department of</w:t>
      </w:r>
      <w:r w:rsidR="0074674C">
        <w:rPr>
          <w:rFonts w:eastAsia="Times New Roman"/>
          <w:szCs w:val="20"/>
        </w:rPr>
        <w:t xml:space="preserve"> labor</w:t>
      </w:r>
      <w:r w:rsidRPr="00330A72" w:rsidR="0074674C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and industries must update this list by December 1st of each year, for purposes of determining credit eligibility for fuels during the following program year. In order to certify that a fuel is eligible to generate credits under the program, the department o</w:t>
      </w:r>
      <w:r w:rsidR="0074674C">
        <w:rPr>
          <w:rFonts w:eastAsia="Times New Roman"/>
          <w:szCs w:val="20"/>
        </w:rPr>
        <w:t>f labor</w:t>
      </w:r>
      <w:r w:rsidRPr="00330A72" w:rsidR="0074674C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and industries must determine that the fuel was extracted or produced in a country that has laws that provide the following</w:t>
      </w:r>
      <w:r w:rsidR="0074674C">
        <w:rPr>
          <w:rFonts w:eastAsia="Times New Roman"/>
          <w:szCs w:val="20"/>
        </w:rPr>
        <w:t xml:space="preserve"> labor</w:t>
      </w:r>
      <w:r w:rsidRPr="00330A72" w:rsidR="0074674C">
        <w:rPr>
          <w:rFonts w:eastAsia="Times New Roman"/>
          <w:szCs w:val="20"/>
        </w:rPr>
        <w:t xml:space="preserve"> </w:t>
      </w:r>
      <w:r w:rsidRPr="00330A72">
        <w:rPr>
          <w:rFonts w:eastAsia="Times New Roman"/>
          <w:szCs w:val="20"/>
        </w:rPr>
        <w:t>rights:</w:t>
      </w:r>
    </w:p>
    <w:p w:rsidRPr="00330A72" w:rsidR="00D451EB" w:rsidP="00D451EB" w:rsidRDefault="00D451EB" w14:paraId="60942856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(a) The freedom of association and protection of the right to organize;</w:t>
      </w:r>
    </w:p>
    <w:p w:rsidRPr="00330A72" w:rsidR="00D451EB" w:rsidP="00D451EB" w:rsidRDefault="00D451EB" w14:paraId="2EDC5E55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(b) The right to bargain collectively;</w:t>
      </w:r>
    </w:p>
    <w:p w:rsidRPr="00330A72" w:rsidR="00D451EB" w:rsidP="00D451EB" w:rsidRDefault="00D451EB" w14:paraId="571BBCB8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(c) The right to strike;</w:t>
      </w:r>
    </w:p>
    <w:p w:rsidRPr="00330A72" w:rsidR="00D451EB" w:rsidP="00D451EB" w:rsidRDefault="00D451EB" w14:paraId="5E23B084" w14:textId="2871933D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(d) A prohibition of force</w:t>
      </w:r>
      <w:bookmarkEnd w:id="1"/>
      <w:r w:rsidR="0074674C">
        <w:rPr>
          <w:rFonts w:eastAsia="Times New Roman"/>
          <w:szCs w:val="20"/>
        </w:rPr>
        <w:t>d labor</w:t>
      </w:r>
      <w:r w:rsidRPr="00330A72">
        <w:rPr>
          <w:rFonts w:eastAsia="Times New Roman"/>
          <w:szCs w:val="20"/>
        </w:rPr>
        <w:t>;</w:t>
      </w:r>
    </w:p>
    <w:p w:rsidRPr="00330A72" w:rsidR="00D451EB" w:rsidP="00D451EB" w:rsidRDefault="00D451EB" w14:paraId="1A379158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(e) Minimum employment standards, such as minimum wages and overtime pay, covering wage earners, including those not covered by collective agreements;</w:t>
      </w:r>
    </w:p>
    <w:p w:rsidRPr="00330A72" w:rsidR="00D451EB" w:rsidP="00D451EB" w:rsidRDefault="00D451EB" w14:paraId="60CFAB31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(f) Elimination of employment discrimination on the basis of race, religion, age, sex, or other grounds as determined by each country's domestic laws;</w:t>
      </w:r>
    </w:p>
    <w:p w:rsidRPr="00330A72" w:rsidR="00D451EB" w:rsidP="00D451EB" w:rsidRDefault="00D451EB" w14:paraId="19E768EB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(g) Equal pay for men and women;</w:t>
      </w:r>
    </w:p>
    <w:p w:rsidRPr="00330A72" w:rsidR="00D451EB" w:rsidP="00D451EB" w:rsidRDefault="00D451EB" w14:paraId="5DB0CB59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(h) Prevention of occupational injuries and illnesses;</w:t>
      </w:r>
    </w:p>
    <w:p w:rsidRPr="00330A72" w:rsidR="00D451EB" w:rsidP="00D451EB" w:rsidRDefault="00D451EB" w14:paraId="6275F636" w14:textId="77777777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lastRenderedPageBreak/>
        <w:t>(i) Compensation in cases of occupational injuries and illnesses; and</w:t>
      </w:r>
    </w:p>
    <w:p w:rsidRPr="00D451EB" w:rsidR="00D451EB" w:rsidP="00D451EB" w:rsidRDefault="00D451EB" w14:paraId="6273707F" w14:textId="48BB4602">
      <w:pPr>
        <w:shd w:val="clear" w:color="auto" w:fill="FFFFFF"/>
        <w:spacing w:line="408" w:lineRule="exact"/>
        <w:ind w:firstLine="576"/>
        <w:jc w:val="both"/>
        <w:rPr>
          <w:rFonts w:eastAsia="Times New Roman"/>
          <w:szCs w:val="20"/>
        </w:rPr>
      </w:pPr>
      <w:r w:rsidRPr="00330A72">
        <w:rPr>
          <w:rFonts w:eastAsia="Times New Roman"/>
          <w:szCs w:val="20"/>
        </w:rPr>
        <w:t>(j) Protection of migrant workers.</w:t>
      </w:r>
      <w:r>
        <w:rPr>
          <w:rFonts w:eastAsia="Times New Roman"/>
          <w:szCs w:val="20"/>
        </w:rPr>
        <w:t>"</w:t>
      </w:r>
    </w:p>
    <w:p w:rsidRPr="00D451EB" w:rsidR="00D451EB" w:rsidP="00D451EB" w:rsidRDefault="00D451EB" w14:paraId="4CFF80EF" w14:textId="01AFB426">
      <w:pPr>
        <w:pStyle w:val="RCWSLText"/>
      </w:pPr>
    </w:p>
    <w:p w:rsidRPr="00987430" w:rsidR="00DF5D0E" w:rsidP="00987430" w:rsidRDefault="00DF5D0E" w14:paraId="534D8EE5" w14:textId="50F7AF37">
      <w:pPr>
        <w:suppressLineNumbers/>
        <w:rPr>
          <w:spacing w:val="-3"/>
        </w:rPr>
      </w:pPr>
    </w:p>
    <w:permEnd w:id="976693381"/>
    <w:p w:rsidR="00ED2EEB" w:rsidP="00987430" w:rsidRDefault="00ED2EEB" w14:paraId="261516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2667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C216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7430" w:rsidRDefault="00D659AC" w14:paraId="120C6D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D451EB" w:rsidR="001C1B27" w:rsidP="00D451EB" w:rsidRDefault="0096303F" w14:paraId="01E25055" w14:textId="430A3F08">
                <w:pPr>
                  <w:pStyle w:val="Effect"/>
                  <w:shd w:val="clear" w:color="auto" w:fill="auto"/>
                  <w:suppressAutoHyphens w:val="0"/>
                  <w:spacing w:line="408" w:lineRule="exact"/>
                  <w:ind w:left="0" w:firstLine="0"/>
                  <w:jc w:val="both"/>
                  <w:rPr>
                    <w:rFonts w:eastAsia="Times New Roman"/>
                    <w:spacing w:val="0"/>
                    <w:szCs w:val="2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Prohibits the use of fuels to generate credits under the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C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lean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F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uels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P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rogram unless the fuel was extracted or produced in a country certified by the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D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>epartment of</w:t>
                </w:r>
                <w:r w:rsidR="0074674C">
                  <w:rPr>
                    <w:rFonts w:eastAsia="Times New Roman"/>
                    <w:spacing w:val="0"/>
                    <w:szCs w:val="20"/>
                  </w:rPr>
                  <w:t xml:space="preserve">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L</w:t>
                </w:r>
                <w:r w:rsidR="0074674C">
                  <w:rPr>
                    <w:rFonts w:eastAsia="Times New Roman"/>
                    <w:spacing w:val="0"/>
                    <w:szCs w:val="20"/>
                  </w:rPr>
                  <w:t>abor</w:t>
                </w:r>
                <w:r w:rsidRPr="00D451EB" w:rsidR="0074674C">
                  <w:rPr>
                    <w:rFonts w:eastAsia="Times New Roman"/>
                    <w:spacing w:val="0"/>
                    <w:szCs w:val="20"/>
                  </w:rPr>
                  <w:t xml:space="preserve"> 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and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I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>ndustries to have laws that provide ten categories of</w:t>
                </w:r>
                <w:r w:rsidR="0074674C">
                  <w:rPr>
                    <w:rFonts w:eastAsia="Times New Roman"/>
                    <w:spacing w:val="0"/>
                    <w:szCs w:val="20"/>
                  </w:rPr>
                  <w:t xml:space="preserve"> labor</w:t>
                </w:r>
                <w:r w:rsidRPr="00D451EB" w:rsidR="0074674C">
                  <w:rPr>
                    <w:rFonts w:eastAsia="Times New Roman"/>
                    <w:spacing w:val="0"/>
                    <w:szCs w:val="20"/>
                  </w:rPr>
                  <w:t xml:space="preserve"> 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rights. Requires the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D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>epartment of</w:t>
                </w:r>
                <w:r w:rsidR="0074674C">
                  <w:rPr>
                    <w:rFonts w:eastAsia="Times New Roman"/>
                    <w:spacing w:val="0"/>
                    <w:szCs w:val="20"/>
                  </w:rPr>
                  <w:t xml:space="preserve">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L</w:t>
                </w:r>
                <w:r w:rsidR="0074674C">
                  <w:rPr>
                    <w:rFonts w:eastAsia="Times New Roman"/>
                    <w:spacing w:val="0"/>
                    <w:szCs w:val="20"/>
                  </w:rPr>
                  <w:t>abor</w:t>
                </w:r>
                <w:r w:rsidRPr="00D451EB" w:rsidR="0074674C">
                  <w:rPr>
                    <w:rFonts w:eastAsia="Times New Roman"/>
                    <w:spacing w:val="0"/>
                    <w:szCs w:val="20"/>
                  </w:rPr>
                  <w:t xml:space="preserve"> 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and </w:t>
                </w:r>
                <w:r w:rsidR="009B0225">
                  <w:rPr>
                    <w:rFonts w:eastAsia="Times New Roman"/>
                    <w:spacing w:val="0"/>
                    <w:szCs w:val="20"/>
                  </w:rPr>
                  <w:t>I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>ndustries to publish a list of eligible countries by December 1, 20</w:t>
                </w:r>
                <w:r w:rsidR="00D451EB">
                  <w:rPr>
                    <w:rFonts w:eastAsia="Times New Roman"/>
                    <w:spacing w:val="0"/>
                    <w:szCs w:val="20"/>
                  </w:rPr>
                  <w:t>21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, and to update that list annually for use in the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C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lean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F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 xml:space="preserve">uels </w:t>
                </w:r>
                <w:r w:rsidR="00706041">
                  <w:rPr>
                    <w:rFonts w:eastAsia="Times New Roman"/>
                    <w:spacing w:val="0"/>
                    <w:szCs w:val="20"/>
                  </w:rPr>
                  <w:t>P</w:t>
                </w:r>
                <w:r w:rsidRPr="00D451EB" w:rsidR="00D451EB">
                  <w:rPr>
                    <w:rFonts w:eastAsia="Times New Roman"/>
                    <w:spacing w:val="0"/>
                    <w:szCs w:val="20"/>
                  </w:rPr>
                  <w:t>rogram during the following program year.</w:t>
                </w:r>
              </w:p>
              <w:p w:rsidRPr="007D1589" w:rsidR="001B4E53" w:rsidP="00987430" w:rsidRDefault="001B4E53" w14:paraId="62306C9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2667769"/>
    </w:tbl>
    <w:p w:rsidR="00DF5D0E" w:rsidP="00987430" w:rsidRDefault="00DF5D0E" w14:paraId="0EF46732" w14:textId="77777777">
      <w:pPr>
        <w:pStyle w:val="BillEnd"/>
        <w:suppressLineNumbers/>
      </w:pPr>
    </w:p>
    <w:p w:rsidR="00DF5D0E" w:rsidP="00987430" w:rsidRDefault="00DE256E" w14:paraId="5127982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7430" w:rsidRDefault="00AB682C" w14:paraId="770499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F2D8" w14:textId="77777777" w:rsidR="00987430" w:rsidRDefault="00987430" w:rsidP="00DF5D0E">
      <w:r>
        <w:separator/>
      </w:r>
    </w:p>
  </w:endnote>
  <w:endnote w:type="continuationSeparator" w:id="0">
    <w:p w14:paraId="21140463" w14:textId="77777777" w:rsidR="00987430" w:rsidRDefault="009874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430B" w:rsidRDefault="00A2430B" w14:paraId="6FF764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654EE" w14:paraId="19D7FFC0" w14:textId="24F324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5E00">
      <w:t>1091-S3 AMH MAYC LIPS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654EE" w14:paraId="099AEC39" w14:textId="071275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5E00">
      <w:t>1091-S3 AMH MAYC LIPS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9EB6" w14:textId="77777777" w:rsidR="00987430" w:rsidRDefault="00987430" w:rsidP="00DF5D0E">
      <w:r>
        <w:separator/>
      </w:r>
    </w:p>
  </w:footnote>
  <w:footnote w:type="continuationSeparator" w:id="0">
    <w:p w14:paraId="27D72457" w14:textId="77777777" w:rsidR="00987430" w:rsidRDefault="009874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8913" w14:textId="77777777" w:rsidR="00A2430B" w:rsidRDefault="00A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39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1944F1" wp14:editId="3E7699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6C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64E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C86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7DE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1CA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6BF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C82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9C2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D6F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950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EA5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E78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08C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FC2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4F5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992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620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C8F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2E8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4E2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963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268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FD0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AA4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6B1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D4A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612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FE8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F12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6FE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F94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E04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3E4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57B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944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76C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64EC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C862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7DE0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1CAE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6BF5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C82E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9C2F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D6F5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950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EA5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E78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08C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FC2C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4F5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992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620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C8F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2E8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4E2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963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268D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FD0B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AA4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6B1A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D4A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6126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FE8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F12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6FE6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F945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E0418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3E41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57BF4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B8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38B85" wp14:editId="283C543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3D3C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F0F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742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3CC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AE3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F73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CE6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F6D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AB3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819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922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DB7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165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5E2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59D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A67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68B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941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A73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FED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84A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F95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C62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DAB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D1B8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A8CA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7ED7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38B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53D3C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F0F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7428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3CCD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AE33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F73C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CE6B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F6D7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AB30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8197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922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DB7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165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5E2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59D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A67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68B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941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A737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FED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84A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F95F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C62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DAB8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D1B8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A8CA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7ED7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3D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6E2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0A72"/>
    <w:rsid w:val="003E2FC6"/>
    <w:rsid w:val="00492DDC"/>
    <w:rsid w:val="00497FEA"/>
    <w:rsid w:val="004C6615"/>
    <w:rsid w:val="005115F9"/>
    <w:rsid w:val="00523C5A"/>
    <w:rsid w:val="00545E00"/>
    <w:rsid w:val="005E69C3"/>
    <w:rsid w:val="00603E54"/>
    <w:rsid w:val="00605C39"/>
    <w:rsid w:val="006841E6"/>
    <w:rsid w:val="006E0F62"/>
    <w:rsid w:val="006E2F81"/>
    <w:rsid w:val="006E30F4"/>
    <w:rsid w:val="006F7027"/>
    <w:rsid w:val="007049E4"/>
    <w:rsid w:val="00706041"/>
    <w:rsid w:val="0072335D"/>
    <w:rsid w:val="0072541D"/>
    <w:rsid w:val="0074674C"/>
    <w:rsid w:val="00757317"/>
    <w:rsid w:val="007769AF"/>
    <w:rsid w:val="007D1589"/>
    <w:rsid w:val="007D35D4"/>
    <w:rsid w:val="008237B8"/>
    <w:rsid w:val="0083749C"/>
    <w:rsid w:val="008443FE"/>
    <w:rsid w:val="00846034"/>
    <w:rsid w:val="008C7E6E"/>
    <w:rsid w:val="00931B84"/>
    <w:rsid w:val="0096303F"/>
    <w:rsid w:val="009654EE"/>
    <w:rsid w:val="00972869"/>
    <w:rsid w:val="00984CD1"/>
    <w:rsid w:val="00987430"/>
    <w:rsid w:val="009B0225"/>
    <w:rsid w:val="009F23A9"/>
    <w:rsid w:val="00A01F29"/>
    <w:rsid w:val="00A17B5B"/>
    <w:rsid w:val="00A2430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51EB"/>
    <w:rsid w:val="00D659AC"/>
    <w:rsid w:val="00DA47F3"/>
    <w:rsid w:val="00DC2C13"/>
    <w:rsid w:val="00DE256E"/>
    <w:rsid w:val="00DF5D0E"/>
    <w:rsid w:val="00E1471A"/>
    <w:rsid w:val="00E267B1"/>
    <w:rsid w:val="00E41CC6"/>
    <w:rsid w:val="00E472C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FB3E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451E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836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1091-S3</BillDocName>
  <AmendType>AMH</AmendType>
  <SponsorAcronym>MAYC</SponsorAcronym>
  <DrafterAcronym>LIPS</DrafterAcronym>
  <DraftNumber>059</DraftNumber>
  <ReferenceNumber>3SHB 1091</ReferenceNumber>
  <Floor>H AMD</Floor>
  <AmendmentNumber> 143</AmendmentNumber>
  <Sponsors>By Representative Maycumber</Sponsors>
  <FloorAction>NOT 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349</Words>
  <Characters>1774</Characters>
  <Application>Microsoft Office Word</Application>
  <DocSecurity>8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1091-S3 AMH MAYC LIPS 059</dc:title>
  <dc:creator>Jacob Lipson</dc:creator>
  <cp:lastModifiedBy>Lipson, Jacob</cp:lastModifiedBy>
  <cp:revision>18</cp:revision>
  <dcterms:created xsi:type="dcterms:W3CDTF">2021-02-25T03:33:00Z</dcterms:created>
  <dcterms:modified xsi:type="dcterms:W3CDTF">2021-02-25T18:40:00Z</dcterms:modified>
</cp:coreProperties>
</file>