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db8d19de42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1443-S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CHAM</w:t>
        </w:r>
      </w:r>
      <w:r>
        <w:rPr>
          <w:b/>
        </w:rPr>
        <w:t xml:space="preserve"> </w:t>
        <w:r>
          <w:rPr/>
          <w:t xml:space="preserve">H1167.1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1443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Chambers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11, strike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17, after "canceled" strike all material through "</w:t>
      </w:r>
      <w:r>
        <w:rPr>
          <w:u w:val="single"/>
        </w:rPr>
        <w:t xml:space="preserve">types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certain required recommendation topics for the Task Force on Social Equity in Cannabis, including recommendations regarding the social equity impact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Altering residential cannabis agriculture regulations;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Shifting primary regulation of cannabis production from the Liquor and Cannabis Board to the Department of Agriculture;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Removing nonviolent cannabis-related felonies and misdemeanors from obtaining a cannabis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Creating cannabis industry workforce training opportunities for underserved communities;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Redirecting funds from the Washington State Patrol Drug Enforcement Task Force to the Cannabis Social Equity Program;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Creating new cannabis license types.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9f5a692974831" /></Relationships>
</file>