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4378D" w14:paraId="2FF769F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5143F">
            <w:t>1760-S2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5143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5143F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5143F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5143F">
            <w:t>540</w:t>
          </w:r>
        </w:sdtContent>
      </w:sdt>
    </w:p>
    <w:p w:rsidR="00DF5D0E" w:rsidP="00B73E0A" w:rsidRDefault="00AA1230" w14:paraId="41A9533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4378D" w14:paraId="17E9618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5143F">
            <w:rPr>
              <w:b/>
              <w:u w:val="single"/>
            </w:rPr>
            <w:t>2SHB 1760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5143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1010</w:t>
          </w:r>
        </w:sdtContent>
      </w:sdt>
    </w:p>
    <w:p w:rsidR="00DF5D0E" w:rsidP="00605C39" w:rsidRDefault="00D4378D" w14:paraId="6F506DD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5143F">
            <w:rPr>
              <w:sz w:val="22"/>
            </w:rPr>
            <w:t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5143F" w14:paraId="7B9372A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02/12/2022</w:t>
          </w:r>
        </w:p>
      </w:sdtContent>
    </w:sdt>
    <w:p w:rsidR="0015143F" w:rsidP="00C8108C" w:rsidRDefault="00DE256E" w14:paraId="62A15EEE" w14:textId="58705FA8">
      <w:pPr>
        <w:pStyle w:val="Page"/>
      </w:pPr>
      <w:bookmarkStart w:name="StartOfAmendmentBody" w:id="0"/>
      <w:bookmarkEnd w:id="0"/>
      <w:permStart w:edGrp="everyone" w:id="603610155"/>
      <w:r>
        <w:tab/>
      </w:r>
      <w:r w:rsidR="0015143F">
        <w:t xml:space="preserve">On page </w:t>
      </w:r>
      <w:r w:rsidR="00CE1013">
        <w:t>5, after line 40, insert the following:</w:t>
      </w:r>
    </w:p>
    <w:p w:rsidR="00F023EB" w:rsidP="00F023EB" w:rsidRDefault="00CE1013" w14:paraId="52281D89" w14:textId="5E6322C3">
      <w:pPr>
        <w:pStyle w:val="RCWSLText"/>
      </w:pPr>
      <w:r>
        <w:tab/>
        <w:t>"</w:t>
      </w:r>
      <w:r w:rsidRPr="00F023EB" w:rsidR="00F023EB">
        <w:rPr>
          <w:u w:val="single"/>
        </w:rPr>
        <w:t>NEW SECTION.</w:t>
      </w:r>
      <w:r w:rsidR="00F023EB">
        <w:t xml:space="preserve">  </w:t>
      </w:r>
      <w:r w:rsidRPr="00F023EB" w:rsidR="00F023EB">
        <w:rPr>
          <w:b/>
          <w:bCs/>
        </w:rPr>
        <w:t>Sec. 4.</w:t>
      </w:r>
      <w:r w:rsidR="00F023EB">
        <w:t xml:space="preserve"> A new section is added to chapter 28A.310 RCW to read as follows:</w:t>
      </w:r>
    </w:p>
    <w:p w:rsidR="00F023EB" w:rsidP="00F023EB" w:rsidRDefault="00F023EB" w14:paraId="78FEB963" w14:textId="1789D2C9">
      <w:pPr>
        <w:pStyle w:val="RCWSLText"/>
      </w:pPr>
      <w:r>
        <w:tab/>
        <w:t xml:space="preserve">(1) </w:t>
      </w:r>
      <w:r w:rsidR="00555150">
        <w:t>T</w:t>
      </w:r>
      <w:r>
        <w:t>he office of the superintendent of public instruction</w:t>
      </w:r>
      <w:r w:rsidR="00122BB3">
        <w:t>, in collaboration with the association of educational service districts,</w:t>
      </w:r>
      <w:r w:rsidR="005172DA">
        <w:t xml:space="preserve"> </w:t>
      </w:r>
      <w:r w:rsidR="00690B81">
        <w:t>must</w:t>
      </w:r>
      <w:r w:rsidR="005172DA">
        <w:t xml:space="preserve"> select</w:t>
      </w:r>
      <w:r w:rsidR="00122BB3">
        <w:t xml:space="preserve"> the</w:t>
      </w:r>
      <w:r w:rsidR="005172DA">
        <w:t xml:space="preserve"> </w:t>
      </w:r>
      <w:r w:rsidR="00122BB3">
        <w:t>educational service</w:t>
      </w:r>
      <w:r w:rsidR="005172DA">
        <w:t xml:space="preserve"> district</w:t>
      </w:r>
      <w:r w:rsidR="00122BB3">
        <w:t xml:space="preserve"> with the most rural counties</w:t>
      </w:r>
      <w:r w:rsidR="005172DA">
        <w:t xml:space="preserve"> to</w:t>
      </w:r>
      <w:r>
        <w:t xml:space="preserve"> </w:t>
      </w:r>
      <w:r w:rsidR="00D42213">
        <w:t>develop</w:t>
      </w:r>
      <w:r w:rsidR="00EE2DA5">
        <w:t>, and support local implementation</w:t>
      </w:r>
      <w:r w:rsidR="00526E94">
        <w:t xml:space="preserve"> of</w:t>
      </w:r>
      <w:r w:rsidR="00EE2DA5">
        <w:t>,</w:t>
      </w:r>
      <w:r w:rsidR="00D42213">
        <w:t xml:space="preserve"> two apprenticeship preparation </w:t>
      </w:r>
      <w:r w:rsidR="00E24B6D">
        <w:t>programs</w:t>
      </w:r>
      <w:r w:rsidR="00EE2DA5">
        <w:t xml:space="preserve"> that </w:t>
      </w:r>
      <w:r w:rsidR="00E24B6D">
        <w:t xml:space="preserve">provide </w:t>
      </w:r>
      <w:r w:rsidR="00EE2DA5">
        <w:t xml:space="preserve">high school </w:t>
      </w:r>
      <w:r w:rsidR="00E24B6D">
        <w:t xml:space="preserve">students with opportunities to earn </w:t>
      </w:r>
      <w:r w:rsidR="00EE2DA5">
        <w:t>college</w:t>
      </w:r>
      <w:r w:rsidR="00E24B6D">
        <w:t xml:space="preserve"> credit</w:t>
      </w:r>
      <w:r w:rsidR="00EE2DA5">
        <w:t xml:space="preserve"> and </w:t>
      </w:r>
      <w:r w:rsidR="0085009E">
        <w:t xml:space="preserve">that </w:t>
      </w:r>
      <w:r w:rsidR="00EE2DA5">
        <w:t>lead to industry-recognized credentials.</w:t>
      </w:r>
    </w:p>
    <w:p w:rsidR="00EE2DA5" w:rsidP="00777489" w:rsidRDefault="005172DA" w14:paraId="60CEF3FC" w14:textId="3ADAB0E3">
      <w:pPr>
        <w:pStyle w:val="RCWSLText"/>
      </w:pPr>
      <w:r>
        <w:tab/>
        <w:t>(2)</w:t>
      </w:r>
      <w:r w:rsidR="00EE2DA5">
        <w:t>(a)</w:t>
      </w:r>
      <w:r>
        <w:t xml:space="preserve"> </w:t>
      </w:r>
      <w:r w:rsidR="00122BB3">
        <w:t xml:space="preserve">The </w:t>
      </w:r>
      <w:r w:rsidR="00690B81">
        <w:t xml:space="preserve">selected </w:t>
      </w:r>
      <w:r w:rsidR="00122BB3">
        <w:t>educational service d</w:t>
      </w:r>
      <w:r w:rsidR="00F023EB">
        <w:t xml:space="preserve">istrict must </w:t>
      </w:r>
      <w:r>
        <w:t>collaborate</w:t>
      </w:r>
      <w:r w:rsidR="00F023EB">
        <w:t xml:space="preserve"> with </w:t>
      </w:r>
      <w:r w:rsidR="00777489">
        <w:t xml:space="preserve">state and </w:t>
      </w:r>
      <w:r w:rsidR="00F023EB">
        <w:t xml:space="preserve">local </w:t>
      </w:r>
      <w:r w:rsidR="00777489">
        <w:t>entities</w:t>
      </w:r>
      <w:r w:rsidR="00F023EB">
        <w:t xml:space="preserve"> to </w:t>
      </w:r>
      <w:r w:rsidR="00DA2F34">
        <w:t>develop and implement two apprenticeship preparation program pathways</w:t>
      </w:r>
      <w:r w:rsidR="00F6056A">
        <w:t>:</w:t>
      </w:r>
      <w:r w:rsidR="00DA2F34">
        <w:t xml:space="preserve"> one in architecture and construction and the other in skilled trades.</w:t>
      </w:r>
      <w:r w:rsidR="00894B1B">
        <w:t xml:space="preserve"> </w:t>
      </w:r>
    </w:p>
    <w:p w:rsidR="00F023EB" w:rsidP="00777489" w:rsidRDefault="00EE2DA5" w14:paraId="61D31602" w14:textId="734D2894">
      <w:pPr>
        <w:pStyle w:val="RCWSLText"/>
      </w:pPr>
      <w:r>
        <w:tab/>
        <w:t xml:space="preserve">(b) </w:t>
      </w:r>
      <w:r w:rsidR="00F023EB">
        <w:t>The</w:t>
      </w:r>
      <w:r w:rsidR="00DA2F34">
        <w:t xml:space="preserve"> state and local</w:t>
      </w:r>
      <w:r w:rsidR="00F023EB">
        <w:t xml:space="preserve"> </w:t>
      </w:r>
      <w:r>
        <w:t>entities</w:t>
      </w:r>
      <w:r w:rsidR="00DA2F34">
        <w:t xml:space="preserve"> to be collaborated with</w:t>
      </w:r>
      <w:r w:rsidR="00F023EB">
        <w:t xml:space="preserve"> </w:t>
      </w:r>
      <w:r w:rsidR="00760D9F">
        <w:t>may</w:t>
      </w:r>
      <w:r w:rsidR="00FE6937">
        <w:t xml:space="preserve"> include the </w:t>
      </w:r>
      <w:r w:rsidR="00760D9F">
        <w:t xml:space="preserve">office of the superintendent of public instruction, the </w:t>
      </w:r>
      <w:r w:rsidR="00FE6937">
        <w:t xml:space="preserve">Washington state apprenticeship and training council, the workforce training and education coordinating board, Washington association for career and technical education, </w:t>
      </w:r>
      <w:r w:rsidR="00777489">
        <w:t xml:space="preserve">the state board for community and technical colleges, </w:t>
      </w:r>
      <w:r w:rsidR="00760D9F">
        <w:t xml:space="preserve">local school districts and high schools, </w:t>
      </w:r>
      <w:r w:rsidR="00F023EB">
        <w:t xml:space="preserve">local labor unions, local </w:t>
      </w:r>
      <w:r w:rsidR="00760D9F">
        <w:t xml:space="preserve">Washington state apprenticeship and training council registered </w:t>
      </w:r>
      <w:r w:rsidR="00F023EB">
        <w:t xml:space="preserve">apprenticeship programs, and local industry groups. </w:t>
      </w:r>
    </w:p>
    <w:p w:rsidR="0085009E" w:rsidP="0085009E" w:rsidRDefault="00EE2DA5" w14:paraId="3D1F66F5" w14:textId="338CCA77">
      <w:pPr>
        <w:pStyle w:val="RCWSLText"/>
      </w:pPr>
      <w:r>
        <w:tab/>
        <w:t>(</w:t>
      </w:r>
      <w:r w:rsidR="00F6056A">
        <w:t>3</w:t>
      </w:r>
      <w:r>
        <w:t xml:space="preserve">) </w:t>
      </w:r>
      <w:r w:rsidR="0085009E">
        <w:t>The two apprenticeship preparation program pathways must meet the following requirements:</w:t>
      </w:r>
    </w:p>
    <w:p w:rsidR="0085009E" w:rsidP="0085009E" w:rsidRDefault="0085009E" w14:paraId="78BD8A29" w14:textId="77777777">
      <w:pPr>
        <w:pStyle w:val="RCWSLText"/>
      </w:pPr>
      <w:r>
        <w:tab/>
        <w:t>(a) Meet the requirements for an approved preparatory secondary career and technical education program under RCW 28A.700.030; and</w:t>
      </w:r>
    </w:p>
    <w:p w:rsidR="0085009E" w:rsidP="0085009E" w:rsidRDefault="0085009E" w14:paraId="1A6A39D6" w14:textId="77777777">
      <w:pPr>
        <w:pStyle w:val="RCWSLText"/>
      </w:pPr>
      <w:r>
        <w:lastRenderedPageBreak/>
        <w:tab/>
        <w:t>(b) Seek formal recognition from the Washington apprenticeship and training council as a recognized apprenticeship preparation program.</w:t>
      </w:r>
    </w:p>
    <w:p w:rsidR="00894B1B" w:rsidP="0085009E" w:rsidRDefault="0085009E" w14:paraId="3F6DC467" w14:textId="2476EA3B">
      <w:pPr>
        <w:pStyle w:val="RCWSLText"/>
      </w:pPr>
      <w:r>
        <w:tab/>
        <w:t>(</w:t>
      </w:r>
      <w:r w:rsidR="00F6056A">
        <w:t>4</w:t>
      </w:r>
      <w:r>
        <w:t>) For the 2022-23 and 2023-24 school years, t</w:t>
      </w:r>
      <w:r w:rsidR="00EE2DA5">
        <w:t xml:space="preserve">he office of the superintendent of public instruction must allocate funding to the selected educational service district to hire a full-time certificated instructional staff person to </w:t>
      </w:r>
      <w:r w:rsidR="00DA2F34">
        <w:t>lead the development of the apprenticeship preparation program pathways</w:t>
      </w:r>
      <w:r w:rsidR="00EE2DA5">
        <w:t xml:space="preserve"> and to support the implementation of </w:t>
      </w:r>
      <w:r w:rsidR="00DA2F34">
        <w:t xml:space="preserve">the apprenticeship preparation program pathways </w:t>
      </w:r>
      <w:r w:rsidR="00EE2DA5">
        <w:t>in the selected school districts.</w:t>
      </w:r>
    </w:p>
    <w:p w:rsidR="005A45C0" w:rsidP="00F023EB" w:rsidRDefault="00F023EB" w14:paraId="7656BAD6" w14:textId="72C0D438">
      <w:pPr>
        <w:pStyle w:val="RCWSLText"/>
      </w:pPr>
      <w:r>
        <w:tab/>
        <w:t>(</w:t>
      </w:r>
      <w:r w:rsidR="00F6056A">
        <w:t>5</w:t>
      </w:r>
      <w:r>
        <w:t xml:space="preserve">) </w:t>
      </w:r>
      <w:r w:rsidR="0085009E">
        <w:t>T</w:t>
      </w:r>
      <w:r w:rsidR="00122BB3">
        <w:t xml:space="preserve">he selected educational service district must select two of its school districts with student populations that are at least 25 percent non-white to implement the </w:t>
      </w:r>
      <w:r w:rsidR="0085009E">
        <w:t>two apprenticeship preparation program pathways beginning in the 2023-24 school year</w:t>
      </w:r>
      <w:r w:rsidR="00122BB3">
        <w:t xml:space="preserve">.  Other school districts </w:t>
      </w:r>
      <w:r w:rsidR="0085009E">
        <w:t>are permitted to implement one or both of the apprenticeship preparation program pathways</w:t>
      </w:r>
      <w:r w:rsidR="00122BB3">
        <w:t>.</w:t>
      </w:r>
    </w:p>
    <w:p w:rsidR="00596759" w:rsidP="00CE1013" w:rsidRDefault="00474502" w14:paraId="336556D3" w14:textId="3603231E">
      <w:pPr>
        <w:pStyle w:val="RCWSLText"/>
      </w:pPr>
      <w:r>
        <w:tab/>
        <w:t>(</w:t>
      </w:r>
      <w:r w:rsidR="00F6056A">
        <w:t>6</w:t>
      </w:r>
      <w:r>
        <w:t xml:space="preserve">) </w:t>
      </w:r>
      <w:r w:rsidR="00986DC6">
        <w:t xml:space="preserve">By October 15, 2025, </w:t>
      </w:r>
      <w:r w:rsidR="00596759">
        <w:t xml:space="preserve">and in accordance with RCW 43.01.036, </w:t>
      </w:r>
      <w:r w:rsidR="00986DC6">
        <w:t>the office of the superintendent of public, in collaboration with the selected educational service district and school districts implementing the apprenticeship preparation program pathways, must submit a report to the appropriate committees of the legislature on the development and implementation of the apprenticeship preparation program pathways.  The report must</w:t>
      </w:r>
      <w:r w:rsidR="00596759">
        <w:t>:</w:t>
      </w:r>
    </w:p>
    <w:p w:rsidR="00596759" w:rsidP="00CE1013" w:rsidRDefault="00596759" w14:paraId="24053C31" w14:textId="63B3510C">
      <w:pPr>
        <w:pStyle w:val="RCWSLText"/>
      </w:pPr>
      <w:r>
        <w:tab/>
        <w:t xml:space="preserve">(a) Describe best practices learned for developing pathways through an educational service district; </w:t>
      </w:r>
    </w:p>
    <w:p w:rsidR="00596759" w:rsidP="00CE1013" w:rsidRDefault="00596759" w14:paraId="2A30B206" w14:textId="77777777">
      <w:pPr>
        <w:pStyle w:val="RCWSLText"/>
      </w:pPr>
      <w:r>
        <w:tab/>
        <w:t>(b) D</w:t>
      </w:r>
      <w:r w:rsidR="00986DC6">
        <w:t>escribe each pathway</w:t>
      </w:r>
      <w:r w:rsidR="0065477F">
        <w:t xml:space="preserve"> developed</w:t>
      </w:r>
      <w:r w:rsidR="00986DC6">
        <w:t>, including skills taught, high school and college credits offered,</w:t>
      </w:r>
      <w:r w:rsidR="0065477F">
        <w:t xml:space="preserve"> and</w:t>
      </w:r>
      <w:r w:rsidR="00986DC6">
        <w:t xml:space="preserve"> </w:t>
      </w:r>
      <w:r w:rsidR="0065477F">
        <w:t xml:space="preserve">options for earning </w:t>
      </w:r>
      <w:r w:rsidR="00986DC6">
        <w:t xml:space="preserve">industry-recognized </w:t>
      </w:r>
      <w:r w:rsidR="0065477F">
        <w:t>credentials</w:t>
      </w:r>
      <w:r>
        <w:t>;</w:t>
      </w:r>
    </w:p>
    <w:p w:rsidR="00596759" w:rsidP="00CE1013" w:rsidRDefault="00596759" w14:paraId="60293788" w14:textId="1D66FE6C">
      <w:pPr>
        <w:pStyle w:val="RCWSLText"/>
      </w:pPr>
      <w:r>
        <w:tab/>
        <w:t>(c) Inc</w:t>
      </w:r>
      <w:r w:rsidR="0065477F">
        <w:t>lude data on pathway implementation, including data on the number and demographics of participating students and school districts</w:t>
      </w:r>
      <w:r>
        <w:t>;</w:t>
      </w:r>
      <w:r w:rsidR="00F6056A">
        <w:t xml:space="preserve"> and</w:t>
      </w:r>
    </w:p>
    <w:p w:rsidR="00596759" w:rsidP="00CE1013" w:rsidRDefault="00596759" w14:paraId="03EBD4FB" w14:textId="2A39EA46">
      <w:pPr>
        <w:pStyle w:val="RCWSLText"/>
      </w:pPr>
      <w:r>
        <w:tab/>
        <w:t>(d) Recommend whether and</w:t>
      </w:r>
      <w:r w:rsidR="0065477F">
        <w:t xml:space="preserve"> how to</w:t>
      </w:r>
      <w:r>
        <w:t xml:space="preserve"> </w:t>
      </w:r>
      <w:r w:rsidR="0065477F">
        <w:t>expand implementation of the pathways</w:t>
      </w:r>
      <w:r>
        <w:t>.</w:t>
      </w:r>
      <w:r w:rsidR="00F858EC">
        <w:t>"</w:t>
      </w:r>
    </w:p>
    <w:p w:rsidR="00F858EC" w:rsidP="00CE1013" w:rsidRDefault="00F858EC" w14:paraId="0ADD578D" w14:textId="77777777">
      <w:pPr>
        <w:pStyle w:val="RCWSLText"/>
      </w:pPr>
    </w:p>
    <w:p w:rsidR="00CE1013" w:rsidP="00CE1013" w:rsidRDefault="00CE1013" w14:paraId="2B98625B" w14:textId="44E9BAD5">
      <w:pPr>
        <w:pStyle w:val="RCWSLText"/>
      </w:pPr>
      <w:r>
        <w:tab/>
        <w:t>Renumber the remaining sections consecutively and correct any internal references accordingly.</w:t>
      </w:r>
    </w:p>
    <w:p w:rsidR="00CE1013" w:rsidP="00CE1013" w:rsidRDefault="00CE1013" w14:paraId="55B1677A" w14:textId="11DB94F4">
      <w:pPr>
        <w:pStyle w:val="RCWSLText"/>
      </w:pPr>
    </w:p>
    <w:p w:rsidRPr="00CE1013" w:rsidR="00CE1013" w:rsidP="00CE1013" w:rsidRDefault="00CE1013" w14:paraId="2FEE221E" w14:textId="6C90F91F">
      <w:pPr>
        <w:pStyle w:val="RCWSLText"/>
      </w:pPr>
      <w:r>
        <w:tab/>
        <w:t>Correct the title.</w:t>
      </w:r>
    </w:p>
    <w:p w:rsidRPr="0015143F" w:rsidR="00DF5D0E" w:rsidP="0015143F" w:rsidRDefault="00DF5D0E" w14:paraId="63C3C592" w14:textId="77777777">
      <w:pPr>
        <w:suppressLineNumbers/>
        <w:rPr>
          <w:spacing w:val="-3"/>
        </w:rPr>
      </w:pPr>
    </w:p>
    <w:permEnd w:id="603610155"/>
    <w:p w:rsidR="00ED2EEB" w:rsidP="0015143F" w:rsidRDefault="00ED2EEB" w14:paraId="687F6E9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32888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94E4C3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5143F" w:rsidRDefault="00D659AC" w14:paraId="7BC1AC8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5143F" w:rsidRDefault="0096303F" w14:paraId="5004C0E9" w14:textId="66C456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26E94">
                  <w:t xml:space="preserve">Requires </w:t>
                </w:r>
                <w:r w:rsidRPr="00596759" w:rsidR="00596759">
                  <w:t xml:space="preserve">the educational service district with the most rural counties to develop, and </w:t>
                </w:r>
                <w:r w:rsidR="00710E1C">
                  <w:t xml:space="preserve">temporarily </w:t>
                </w:r>
                <w:r w:rsidRPr="00596759" w:rsidR="00596759">
                  <w:t>support</w:t>
                </w:r>
                <w:r w:rsidR="00710E1C">
                  <w:t xml:space="preserve"> </w:t>
                </w:r>
                <w:r w:rsidRPr="00596759" w:rsidR="00596759">
                  <w:t>local implementation</w:t>
                </w:r>
                <w:r w:rsidR="00526E94">
                  <w:t xml:space="preserve"> of</w:t>
                </w:r>
                <w:r w:rsidRPr="00596759" w:rsidR="00596759">
                  <w:t>,</w:t>
                </w:r>
                <w:r w:rsidR="00526E94">
                  <w:t xml:space="preserve"> </w:t>
                </w:r>
                <w:r w:rsidRPr="00596759" w:rsidR="00596759">
                  <w:t>two apprenticeship preparation programs that provide high school students with opportunities to earn college credit and that lead to industry-recognized credentials.</w:t>
                </w:r>
                <w:r w:rsidR="00523902">
                  <w:t xml:space="preserve"> Requires </w:t>
                </w:r>
                <w:r w:rsidR="00710E1C">
                  <w:t xml:space="preserve">a report </w:t>
                </w:r>
                <w:r w:rsidRPr="00523902" w:rsidR="00523902">
                  <w:t>on the development and implementation of the apprenticeship preparation program pathways</w:t>
                </w:r>
                <w:r w:rsidR="00710E1C">
                  <w:t xml:space="preserve"> be submitted to the Legislature by October 15, 2025</w:t>
                </w:r>
                <w:r w:rsidRPr="00523902" w:rsidR="00523902">
                  <w:t>.</w:t>
                </w:r>
              </w:p>
              <w:p w:rsidRPr="007D1589" w:rsidR="001B4E53" w:rsidP="0015143F" w:rsidRDefault="001B4E53" w14:paraId="61698CE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3288817"/>
    </w:tbl>
    <w:p w:rsidR="00DF5D0E" w:rsidP="0015143F" w:rsidRDefault="00DF5D0E" w14:paraId="3BCF71FD" w14:textId="77777777">
      <w:pPr>
        <w:pStyle w:val="BillEnd"/>
        <w:suppressLineNumbers/>
      </w:pPr>
    </w:p>
    <w:p w:rsidR="00DF5D0E" w:rsidP="0015143F" w:rsidRDefault="00DE256E" w14:paraId="2054C8B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5143F" w:rsidRDefault="00AB682C" w14:paraId="6FA5954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F51E" w14:textId="77777777" w:rsidR="0015143F" w:rsidRDefault="0015143F" w:rsidP="00DF5D0E">
      <w:r>
        <w:separator/>
      </w:r>
    </w:p>
  </w:endnote>
  <w:endnote w:type="continuationSeparator" w:id="0">
    <w:p w14:paraId="15054C05" w14:textId="77777777" w:rsidR="0015143F" w:rsidRDefault="001514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6BC1" w:rsidRDefault="005A6BC1" w14:paraId="2E0F28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564F9" w14:paraId="3F2010AC" w14:textId="62586DF1">
    <w:pPr>
      <w:pStyle w:val="AmendDraftFooter"/>
    </w:pPr>
    <w:fldSimple w:instr=" TITLE   \* MERGEFORMAT ">
      <w:r>
        <w:t>1760-S2 AMH YBAR WARG 540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564F9" w14:paraId="620EEA87" w14:textId="6E173D1A">
    <w:pPr>
      <w:pStyle w:val="AmendDraftFooter"/>
    </w:pPr>
    <w:fldSimple w:instr=" TITLE   \* MERGEFORMAT ">
      <w:r>
        <w:t>1760-S2 AMH YBAR WARG 540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C9CD" w14:textId="77777777" w:rsidR="0015143F" w:rsidRDefault="0015143F" w:rsidP="00DF5D0E">
      <w:r>
        <w:separator/>
      </w:r>
    </w:p>
  </w:footnote>
  <w:footnote w:type="continuationSeparator" w:id="0">
    <w:p w14:paraId="517D138C" w14:textId="77777777" w:rsidR="0015143F" w:rsidRDefault="001514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6617" w14:textId="77777777" w:rsidR="005A6BC1" w:rsidRDefault="005A6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21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768CEC" wp14:editId="38090AE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A1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99BD7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B6B6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954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1EC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546FB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2484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F48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D587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CA3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FAEBA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3C4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C8567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E9BE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4257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29EB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34B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F4A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696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177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695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F54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9CC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1DE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AF3A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9CB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F359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7CE1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78AA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E727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8E58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90A2E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6A379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8860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68CE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D3A1DF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99BD7E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B6B6F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954FB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1ECA6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546FB5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24844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F4866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D587D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CA370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FAEBAA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3C473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C8567B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E9BE9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4257A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29EB4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34BAF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F4A4F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6963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17782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6955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F54D2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9CC42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1DEC0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AF3A20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9CB5B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F359E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7CE11B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78AAF4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E727B0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8E58AC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90A2E6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6A379D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886051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DA0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F34F13" wp14:editId="0A2D76F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E539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53A9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165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0C7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87F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D7DA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E1B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84B3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F4E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9F2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8DE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031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4721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D6C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D54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CC36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D24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32D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DFE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4A8F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7D3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C1E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C949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2181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63C5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A0277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17ED5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34F1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DDE539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53A994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16501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0C724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87FBE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D7DA6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E1B90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84B3D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F4E91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9F265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8DE12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031B9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4721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D6CF2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D544F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CC363A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D24F2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32D34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DFEB1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4A8FD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7D3E0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C1E70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C9499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2181ED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63C5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A0277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17ED5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4B77"/>
    <w:rsid w:val="00096165"/>
    <w:rsid w:val="000C6C82"/>
    <w:rsid w:val="000E603A"/>
    <w:rsid w:val="00102468"/>
    <w:rsid w:val="00106544"/>
    <w:rsid w:val="00122BB3"/>
    <w:rsid w:val="00134C0F"/>
    <w:rsid w:val="00136E5A"/>
    <w:rsid w:val="00146AAF"/>
    <w:rsid w:val="0015143F"/>
    <w:rsid w:val="001A775A"/>
    <w:rsid w:val="001B4E53"/>
    <w:rsid w:val="001C1B27"/>
    <w:rsid w:val="001C7F91"/>
    <w:rsid w:val="001D777D"/>
    <w:rsid w:val="001E32ED"/>
    <w:rsid w:val="001E6675"/>
    <w:rsid w:val="00217E8A"/>
    <w:rsid w:val="00265296"/>
    <w:rsid w:val="00281CBD"/>
    <w:rsid w:val="00316CD9"/>
    <w:rsid w:val="003877EE"/>
    <w:rsid w:val="003B17C7"/>
    <w:rsid w:val="003E2FC6"/>
    <w:rsid w:val="004377A6"/>
    <w:rsid w:val="004445D2"/>
    <w:rsid w:val="00474502"/>
    <w:rsid w:val="00474EC9"/>
    <w:rsid w:val="00492DDC"/>
    <w:rsid w:val="004C6615"/>
    <w:rsid w:val="005115F9"/>
    <w:rsid w:val="005172DA"/>
    <w:rsid w:val="00523902"/>
    <w:rsid w:val="00523C5A"/>
    <w:rsid w:val="00526E94"/>
    <w:rsid w:val="00555150"/>
    <w:rsid w:val="00581300"/>
    <w:rsid w:val="00596759"/>
    <w:rsid w:val="005A45C0"/>
    <w:rsid w:val="005A6BC1"/>
    <w:rsid w:val="005B0C04"/>
    <w:rsid w:val="005D57D5"/>
    <w:rsid w:val="005E69C3"/>
    <w:rsid w:val="00605C39"/>
    <w:rsid w:val="0065477F"/>
    <w:rsid w:val="006841E6"/>
    <w:rsid w:val="00690B81"/>
    <w:rsid w:val="006F7027"/>
    <w:rsid w:val="007049E4"/>
    <w:rsid w:val="00710E1C"/>
    <w:rsid w:val="0072335D"/>
    <w:rsid w:val="0072541D"/>
    <w:rsid w:val="00757317"/>
    <w:rsid w:val="00760D9F"/>
    <w:rsid w:val="00762292"/>
    <w:rsid w:val="007769AF"/>
    <w:rsid w:val="00777489"/>
    <w:rsid w:val="007D1589"/>
    <w:rsid w:val="007D35D4"/>
    <w:rsid w:val="00827E7F"/>
    <w:rsid w:val="0083749C"/>
    <w:rsid w:val="008443FE"/>
    <w:rsid w:val="00846034"/>
    <w:rsid w:val="0085009E"/>
    <w:rsid w:val="00894B1B"/>
    <w:rsid w:val="008C7E6E"/>
    <w:rsid w:val="00931B84"/>
    <w:rsid w:val="009564F9"/>
    <w:rsid w:val="0096303F"/>
    <w:rsid w:val="00972869"/>
    <w:rsid w:val="00984CD1"/>
    <w:rsid w:val="00986DC6"/>
    <w:rsid w:val="009F149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0202"/>
    <w:rsid w:val="00B961E0"/>
    <w:rsid w:val="00BA6567"/>
    <w:rsid w:val="00BF44DF"/>
    <w:rsid w:val="00C61A83"/>
    <w:rsid w:val="00C8108C"/>
    <w:rsid w:val="00C84AD0"/>
    <w:rsid w:val="00CE1013"/>
    <w:rsid w:val="00D32F02"/>
    <w:rsid w:val="00D40447"/>
    <w:rsid w:val="00D42213"/>
    <w:rsid w:val="00D4378D"/>
    <w:rsid w:val="00D659AC"/>
    <w:rsid w:val="00D74D28"/>
    <w:rsid w:val="00DA2F34"/>
    <w:rsid w:val="00DA47F3"/>
    <w:rsid w:val="00DC2C13"/>
    <w:rsid w:val="00DE256E"/>
    <w:rsid w:val="00DF5D0E"/>
    <w:rsid w:val="00E1471A"/>
    <w:rsid w:val="00E24B6D"/>
    <w:rsid w:val="00E267B1"/>
    <w:rsid w:val="00E41CC6"/>
    <w:rsid w:val="00E66F5D"/>
    <w:rsid w:val="00E831A5"/>
    <w:rsid w:val="00E850E7"/>
    <w:rsid w:val="00EC4C96"/>
    <w:rsid w:val="00ED2EEB"/>
    <w:rsid w:val="00EE2DA5"/>
    <w:rsid w:val="00F023EB"/>
    <w:rsid w:val="00F03716"/>
    <w:rsid w:val="00F229DE"/>
    <w:rsid w:val="00F304D3"/>
    <w:rsid w:val="00F44B66"/>
    <w:rsid w:val="00F4663F"/>
    <w:rsid w:val="00F6056A"/>
    <w:rsid w:val="00F858EC"/>
    <w:rsid w:val="00FE1C58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D0A55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F023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2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23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2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23EB"/>
    <w:rPr>
      <w:b/>
      <w:bCs/>
    </w:rPr>
  </w:style>
  <w:style w:type="character" w:styleId="Hyperlink">
    <w:name w:val="Hyperlink"/>
    <w:basedOn w:val="DefaultParagraphFont"/>
    <w:unhideWhenUsed/>
    <w:rsid w:val="009F14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A6E5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1760-S2</BillDocName>
  <AmendType>AMH</AmendType>
  <SponsorAcronym>YBAR</SponsorAcronym>
  <DrafterAcronym>WARG</DrafterAcronym>
  <DraftNumber>540</DraftNumber>
  <ReferenceNumber>2SHB 1760</ReferenceNumber>
  <Floor>H AMD</Floor>
  <AmendmentNumber> 1010</AmendmentNumber>
  <Sponsors>By Representative Ybarra</Sponsors>
  <FloorAction>WITHDRAWN 02/12/2022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1521</TotalTime>
  <Pages>2</Pages>
  <Words>575</Words>
  <Characters>3559</Characters>
  <Application>Microsoft Office Word</Application>
  <DocSecurity>8</DocSecurity>
  <Lines>84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1760-S2 AMH YBAR WARG 540</vt:lpstr>
    </vt:vector>
  </TitlesOfParts>
  <Company>Washington State Legislature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1760-S2 AMH YBAR WARG 540</dc:title>
  <dc:creator>Megan Wargacki</dc:creator>
  <cp:lastModifiedBy>Wargacki, Megan</cp:lastModifiedBy>
  <cp:revision>18</cp:revision>
  <dcterms:created xsi:type="dcterms:W3CDTF">2022-02-07T17:43:00Z</dcterms:created>
  <dcterms:modified xsi:type="dcterms:W3CDTF">2022-02-08T23:57:00Z</dcterms:modified>
</cp:coreProperties>
</file>