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8d99c1b894b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1846-S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H2971.2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1846</w:t>
      </w:r>
      <w:r>
        <w:t xml:space="preserve"> -</w:t>
      </w:r>
      <w:r>
        <w:t xml:space="preserve"> </w:t>
        <w:t xml:space="preserve">H AMD TO H AMD (H-2875.1/22)</w:t>
      </w:r>
      <w:r>
        <w:t xml:space="preserve"> </w:t>
      </w:r>
      <w:r>
        <w:rPr>
          <w:b/>
        </w:rPr>
        <w:t xml:space="preserve">1352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beginning on line 5, strike all of section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community workforce agreement and project labor agreement requirements, applying to new data center construction, for a qualifying business or qualifying tenant that receives the tax exemption under either the rural or nonrural county tax exemption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e1030bec94f5e" /></Relationships>
</file>