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c36e489714b3a"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ENGR</w:t>
        </w:r>
      </w:r>
      <w:r>
        <w:rPr>
          <w:b/>
        </w:rPr>
        <w:t xml:space="preserve"> </w:t>
        <w:r>
          <w:rPr/>
          <w:t xml:space="preserve">H1547.E</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AND ENGROSSED 04/21/2021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it is the paramount duty of the state to amply provide every child in the state with an education, creating the opportunity for the child to succeed in school and thrive in life. The legislature further finds that high quality early learning and child care is critical to a child's success in school and life, as it supports the development of the child's social-emotional, physical, cognitive, and language skills. Therefore, the legislature will invest in the ongoing support of K-12 education and early learning and child care by dedicating revenues from this act to the education legacy trust account.</w:t>
      </w:r>
    </w:p>
    <w:p>
      <w:pPr>
        <w:spacing w:before="0" w:after="0" w:line="408" w:lineRule="exact"/>
        <w:ind w:left="0" w:right="0" w:firstLine="576"/>
        <w:jc w:val="left"/>
      </w:pPr>
      <w:r>
        <w:rPr/>
        <w:t xml:space="preserve">The legislature intends to levy a seven percent tax on the privilege of voluntarily selling or exchanging stocks, bonds, and other capital assets where the profit is in excess of $250,000 annually to fund K-12 education, early learning, and child care, and advance our paramount duty to amply provide an education to every child in the state.</w:t>
      </w:r>
    </w:p>
    <w:p>
      <w:pPr>
        <w:spacing w:before="0" w:after="0" w:line="408" w:lineRule="exact"/>
        <w:ind w:left="0" w:right="0" w:firstLine="576"/>
        <w:jc w:val="left"/>
      </w:pPr>
      <w:r>
        <w:rPr/>
        <w:t xml:space="preserve">The legislature further intends to exempt certain assets from the tax including, but not limited to, qualified family-owned small businesses, all residential and other real property, and retirement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REVENUES DEPOSITED INTO EDUCATION LEGACY TRUST ACCOUNT.</w:t>
      </w:r>
      <w:r>
        <w:t xml:space="preserve">  </w:t>
      </w:r>
      <w:r>
        <w:rPr/>
        <w:t xml:space="preserve">All taxes, interest, and penalties collected under this chapter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10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10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10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less $250,000, as provided in section 7 of this act and adjusted annually under section 16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section 4(1)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10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DEDUCTIONS.</w:t>
      </w:r>
      <w:r>
        <w:t xml:space="preserve">  </w:t>
      </w:r>
      <w:r>
        <w:rPr/>
        <w:t xml:space="preserve">In computing tax, there may be deducted from the measure of tax:</w:t>
      </w:r>
    </w:p>
    <w:p>
      <w:pPr>
        <w:spacing w:before="0" w:after="0" w:line="408" w:lineRule="exact"/>
        <w:ind w:left="0" w:right="0" w:firstLine="576"/>
        <w:jc w:val="left"/>
      </w:pPr>
      <w:r>
        <w:rPr/>
        <w:t xml:space="preserve">(1) A standard deduction of $250,000 per individual, or in the case of spouses or domestic partners, their combined standard deduction is limited to $250,000, regardless of whether they file joint or separate returns. The amount of the standard deduction shall be adjusted pursuant to section 16 of this act;</w:t>
      </w:r>
    </w:p>
    <w:p>
      <w:pPr>
        <w:spacing w:before="0" w:after="0" w:line="408" w:lineRule="exact"/>
        <w:ind w:left="0" w:right="0" w:firstLine="576"/>
        <w:jc w:val="left"/>
      </w:pPr>
      <w:r>
        <w:rPr/>
        <w:t xml:space="preserve">(2) Amounts that the state is prohibited from taxing under the Constitution of this state or the Constitution or laws of the United States; and</w:t>
      </w:r>
    </w:p>
    <w:p>
      <w:pPr>
        <w:spacing w:before="0" w:after="0" w:line="408" w:lineRule="exact"/>
        <w:ind w:left="0" w:right="0" w:firstLine="576"/>
        <w:jc w:val="left"/>
      </w:pPr>
      <w:r>
        <w:rPr/>
        <w:t xml:space="preserve">(3) The amount of adjusted capital gain derived from the sale or transfer of the taxpayer's interest in a qualified family-owned small business pursuant to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16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GAINS AND LOSSES.</w:t>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5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OF RETURNS.</w:t>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section 6(2) of this act must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section 6(2) of this act.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FILERS.</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OF TAXES.</w:t>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ACTIONS.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5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ADJUSTMENTS.</w:t>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standard deduction amount in sections 4(13) and 7(1) of this act; and</w:t>
      </w:r>
    </w:p>
    <w:p>
      <w:pPr>
        <w:spacing w:before="0" w:after="0" w:line="408" w:lineRule="exact"/>
        <w:ind w:left="0" w:right="0" w:firstLine="576"/>
        <w:jc w:val="left"/>
      </w:pPr>
      <w:r>
        <w:rPr/>
        <w:t xml:space="preserve">(ii)  The worldwide gross revenue amount under section 8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through 14, and 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5 of this act unconstitutional, or otherwise invalid, in its entirety, section 15 of this act is null and void in its entirety. Any credits previously claimed under section 15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67278763348c9" /></Relationships>
</file>