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5f24676f74c1a" /></Relationships>
</file>

<file path=word/document.xml><?xml version="1.0" encoding="utf-8"?>
<w:document xmlns:w="http://schemas.openxmlformats.org/wordprocessingml/2006/main">
  <w:body>
    <w:p>
      <w:r>
        <w:rPr>
          <w:b/>
        </w:rPr>
        <w:r>
          <w:rPr/>
          <w:t xml:space="preserve">5128-S2.E</w:t>
        </w:r>
      </w:r>
      <w:r>
        <w:rPr>
          <w:b/>
        </w:rPr>
        <w:t xml:space="preserve"> </w:t>
        <w:t xml:space="preserve">AMH</w:t>
      </w:r>
      <w:r>
        <w:rPr>
          <w:b/>
        </w:rPr>
        <w:t xml:space="preserve"> </w:t>
        <w:r>
          <w:rPr/>
          <w:t xml:space="preserve">SANT</w:t>
        </w:r>
      </w:r>
      <w:r>
        <w:rPr>
          <w:b/>
        </w:rPr>
        <w:t xml:space="preserve"> </w:t>
        <w:r>
          <w:rPr/>
          <w:t xml:space="preserve">H1570.1</w:t>
        </w:r>
      </w:r>
      <w:r>
        <w:rPr>
          <w:b/>
        </w:rPr>
        <w:t xml:space="preserve"> - NOT FOR FLOOR USE</w:t>
      </w:r>
    </w:p>
    <w:p>
      <w:pPr>
        <w:ind w:left="0" w:right="0" w:firstLine="576"/>
      </w:pPr>
    </w:p>
    <w:p>
      <w:pPr>
        <w:spacing w:before="480" w:after="0" w:line="408" w:lineRule="exact"/>
      </w:pPr>
      <w:r>
        <w:rPr>
          <w:b/>
          <w:u w:val="single"/>
        </w:rPr>
        <w:t xml:space="preserve">E2SSB 5128</w:t>
      </w:r>
      <w:r>
        <w:t xml:space="preserve"> -</w:t>
      </w:r>
      <w:r>
        <w:t xml:space="preserve"> </w:t>
        <w:t xml:space="preserve">H AMD</w:t>
      </w:r>
      <w:r>
        <w:t xml:space="preserve"> </w:t>
      </w:r>
      <w:r>
        <w:rPr>
          <w:b/>
        </w:rPr>
        <w:t xml:space="preserve">724</w:t>
      </w:r>
    </w:p>
    <w:p>
      <w:pPr>
        <w:spacing w:before="0" w:after="0" w:line="408" w:lineRule="exact"/>
        <w:ind w:left="0" w:right="0" w:firstLine="576"/>
        <w:jc w:val="left"/>
      </w:pPr>
      <w:r>
        <w:rPr/>
        <w:t xml:space="preserve">By Representative Santos</w:t>
      </w:r>
    </w:p>
    <w:p>
      <w:pPr>
        <w:jc w:val="right"/>
      </w:pPr>
      <w:r>
        <w:rPr>
          <w:b/>
        </w:rPr>
        <w:t xml:space="preserve">ADOPTED 04/16/2021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w:t>
      </w:r>
    </w:p>
    <w:p>
      <w:pPr>
        <w:spacing w:before="0" w:after="0" w:line="408" w:lineRule="exact"/>
        <w:ind w:left="0" w:right="0" w:firstLine="576"/>
        <w:jc w:val="left"/>
      </w:pPr>
      <w:r>
        <w:rPr/>
        <w:t xml:space="preserve">With this act, the legislature intends to preserve this principle of flexibility for qualifying transportation services during a future local, state, or national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(a)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(b) Delivery of meals to students; and</w:t>
      </w:r>
    </w:p>
    <w:p>
      <w:pPr>
        <w:spacing w:before="0" w:after="0" w:line="408" w:lineRule="exact"/>
        <w:ind w:left="0" w:right="0" w:firstLine="576"/>
        <w:jc w:val="left"/>
      </w:pPr>
      <w:r>
        <w:rPr/>
        <w:t xml:space="preserve">(c)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(2)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(3) If a district provides expanded services under subsection (1) of this section, the district must track by a separate accounting code the expenditures incurred by the district in providing such services. This data must be included in the report required under RCW 28A.160.170(2).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governs school operation and management under RCW 28A.715.020 and applies to state-tribal compact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intent language and removes the following from the underlying bill:</w:t>
      </w:r>
    </w:p>
    <w:p>
      <w:pPr>
        <w:spacing w:before="0" w:after="0" w:line="408" w:lineRule="exact"/>
        <w:ind w:left="0" w:right="0" w:firstLine="576"/>
        <w:jc w:val="left"/>
      </w:pPr>
      <w:r>
        <w:rPr/>
        <w:t xml:space="preserve">(1) Provisions modifying transportation funding distribution requirements;</w:t>
      </w:r>
    </w:p>
    <w:p>
      <w:pPr>
        <w:spacing w:before="0" w:after="0" w:line="408" w:lineRule="exact"/>
        <w:ind w:left="0" w:right="0" w:firstLine="576"/>
        <w:jc w:val="left"/>
      </w:pPr>
      <w:r>
        <w:rPr/>
        <w:t xml:space="preserve">(2) Provisions establishing and relating to the Public Schools Emergency Transportation (Relief Account); and</w:t>
      </w:r>
    </w:p>
    <w:p>
      <w:pPr>
        <w:spacing w:before="0" w:after="0" w:line="408" w:lineRule="exact"/>
        <w:ind w:left="0" w:right="0" w:firstLine="576"/>
        <w:jc w:val="left"/>
      </w:pPr>
      <w:r>
        <w:rPr/>
        <w:t xml:space="preserve">(3) A $100,000,000 appropriation for fiscal year 2021 to the Relief Account from the State General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ed13f99c546e5" /></Relationships>
</file>