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918873ab94263" /></Relationships>
</file>

<file path=word/document.xml><?xml version="1.0" encoding="utf-8"?>
<w:document xmlns:w="http://schemas.openxmlformats.org/wordprocessingml/2006/main">
  <w:body>
    <w:p>
      <w:r>
        <w:rPr>
          <w:b/>
        </w:rPr>
        <w:r>
          <w:rPr/>
          <w:t xml:space="preserve">5157-S</w:t>
        </w:r>
      </w:r>
      <w:r>
        <w:rPr>
          <w:b/>
        </w:rPr>
        <w:t xml:space="preserve"> </w:t>
        <w:t xml:space="preserve">AMH</w:t>
      </w:r>
      <w:r>
        <w:rPr>
          <w:b/>
        </w:rPr>
        <w:t xml:space="preserve"> </w:t>
        <w:r>
          <w:rPr/>
          <w:t xml:space="preserve">HCW</w:t>
        </w:r>
      </w:r>
      <w:r>
        <w:rPr>
          <w:b/>
        </w:rPr>
        <w:t xml:space="preserve"> </w:t>
        <w:r>
          <w:rPr/>
          <w:t xml:space="preserve">H1392.1</w:t>
        </w:r>
      </w:r>
      <w:r>
        <w:rPr>
          <w:b/>
        </w:rPr>
        <w:t xml:space="preserve"> - NOT FOR FLOOR USE</w:t>
      </w:r>
    </w:p>
    <w:p>
      <w:pPr>
        <w:ind w:left="0" w:right="0" w:firstLine="576"/>
      </w:pPr>
    </w:p>
    <w:p>
      <w:pPr>
        <w:spacing w:before="480" w:after="0" w:line="408" w:lineRule="exact"/>
      </w:pPr>
      <w:r>
        <w:rPr>
          <w:b/>
          <w:u w:val="single"/>
        </w:rPr>
        <w:t xml:space="preserve">SSB 5157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67 percent during this five-year period, while the overall rate of arrest declined by 11 percent. According to the same data source, referrals for state mental health services related to competency to stand trial have increased by 64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 </w:t>
      </w:r>
      <w:r>
        <w:t>((</w:t>
      </w:r>
      <w:r>
        <w:rPr>
          <w:strike/>
        </w:rPr>
        <w:t xml:space="preserve">a</w:t>
      </w:r>
      <w:r>
        <w:t>))</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(ii) performance measures which track rates of criminal justice system involvement among public health system clients with an identified behavioral health need including, but not limited to, rates of arrest and incarceration; and (iii)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July 1, 2022</w:t>
      </w:r>
      <w:r>
        <w:rPr/>
        <w:t xml:space="preserve">.</w:t>
      </w:r>
    </w:p>
    <w:p>
      <w:pPr>
        <w:spacing w:before="0" w:after="0" w:line="408" w:lineRule="exact"/>
        <w:ind w:left="0" w:right="0" w:firstLine="576"/>
        <w:jc w:val="left"/>
      </w:pPr>
      <w:r>
        <w:rPr>
          <w:u w:val="single"/>
        </w:rPr>
        <w:t xml:space="preserve">(c) For purposes of establishing performance measures as specified in (a)(ii) and (iii)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(7) The authority must report to the governor and appropriate committees of the legislature by October 1, 2022, regarding options and recommendations for integrating value-based purchasing terms and a performance improvement project into managed health care contracts relating to the criminal justice outcomes specified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Performance Measures Coordinating Committee to convene a work group of stakeholders with expertise in criminal justice and behavioral health to review current performance measures adopted in other states or nationally to inform the process of establishing performance measures that track criminal justice system involvement among clients with an identified behavioral health need.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a7aeb5a3d46a7" /></Relationships>
</file>