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a3aab74f94f32" /></Relationships>
</file>

<file path=word/document.xml><?xml version="1.0" encoding="utf-8"?>
<w:document xmlns:w="http://schemas.openxmlformats.org/wordprocessingml/2006/main">
  <w:body>
    <w:p>
      <w:r>
        <w:rPr>
          <w:b/>
        </w:rPr>
        <w:r>
          <w:rPr/>
          <w:t xml:space="preserve">5163-S2.E</w:t>
        </w:r>
      </w:r>
      <w:r>
        <w:rPr>
          <w:b/>
        </w:rPr>
        <w:t xml:space="preserve"> </w:t>
        <w:t xml:space="preserve">AMH</w:t>
      </w:r>
      <w:r>
        <w:rPr>
          <w:b/>
        </w:rPr>
        <w:t xml:space="preserve"> </w:t>
        <w:r>
          <w:rPr/>
          <w:t xml:space="preserve">ENGR</w:t>
        </w:r>
      </w:r>
      <w:r>
        <w:rPr>
          <w:b/>
        </w:rPr>
        <w:t xml:space="preserve"> </w:t>
        <w:r>
          <w:rPr/>
          <w:t xml:space="preserve">H1371.E</w:t>
        </w:r>
      </w:r>
      <w:r>
        <w:rPr>
          <w:b/>
        </w:rPr>
        <w:t xml:space="preserve"> - NOT FOR FLOOR USE</w:t>
      </w:r>
    </w:p>
    <w:p>
      <w:pPr>
        <w:ind w:left="0" w:right="0" w:firstLine="576"/>
      </w:pPr>
    </w:p>
    <w:p>
      <w:pPr>
        <w:spacing w:before="480" w:after="0" w:line="408" w:lineRule="exact"/>
      </w:pPr>
      <w:r>
        <w:rPr>
          <w:b/>
          <w:u w:val="single"/>
        </w:rPr>
        <w:t xml:space="preserve">E2SSB 5163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Nothing in this section precludes the department from expressing professional judgment regarding the suitability of discharge for the protection of a resident's safety or community safety.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known physical health, functioning, and any need for health aid devices;</w:t>
      </w:r>
    </w:p>
    <w:p>
      <w:pPr>
        <w:spacing w:before="0" w:after="0" w:line="408" w:lineRule="exact"/>
        <w:ind w:left="0" w:right="0" w:firstLine="576"/>
        <w:jc w:val="left"/>
      </w:pPr>
      <w:r>
        <w:rPr>
          <w:u w:val="single"/>
        </w:rPr>
        <w:t xml:space="preserve">(b) The resident's known intellectual or cognitive level of functioning and need for specialized programming;</w:t>
      </w:r>
    </w:p>
    <w:p>
      <w:pPr>
        <w:spacing w:before="0" w:after="0" w:line="408" w:lineRule="exact"/>
        <w:ind w:left="0" w:right="0" w:firstLine="576"/>
        <w:jc w:val="left"/>
      </w:pPr>
      <w:r>
        <w:rPr>
          <w:u w:val="single"/>
        </w:rPr>
        <w:t xml:space="preserve">(c) The resident's known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known ability to perform life skills and activities of daily living independently and the resident's known need for any disability accommodations;</w:t>
      </w:r>
    </w:p>
    <w:p>
      <w:pPr>
        <w:spacing w:before="0" w:after="0" w:line="408" w:lineRule="exact"/>
        <w:ind w:left="0" w:right="0" w:firstLine="576"/>
        <w:jc w:val="left"/>
      </w:pPr>
      <w:r>
        <w:rPr>
          <w:u w:val="single"/>
        </w:rPr>
        <w:t xml:space="preserve">(f) A summary of the known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identify a less restrictive alternative placement that satisfies RCW 71.09.092 (1) through (4). Once identified, notice of the placement shall be filed with the court and served upon: The prosecuting agency responsible for the initial commitment; any person or persons identified in RCW 71.09.140(2)(a) who have opted to receive notifications under this chapter; and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w:t>
      </w:r>
      <w:r>
        <w:rPr>
          <w:u w:val="single"/>
        </w:rPr>
        <w:t xml:space="preserve">complies with distance restrictions,</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 and public or private schools providing instruction to kindergarten or any grades one through 12.</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including distance restrictions,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victim and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96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agents, and employees acted with gross negligence.</w:t>
      </w:r>
    </w:p>
    <w:p>
      <w:pPr>
        <w:spacing w:before="0" w:after="0" w:line="408" w:lineRule="exact"/>
        <w:ind w:left="0" w:right="0" w:firstLine="576"/>
        <w:jc w:val="left"/>
      </w:pPr>
      <w:r>
        <w:rPr>
          <w:u w:val="single"/>
        </w:rPr>
        <w:t xml:space="preserve">(4) The department, its officers, agents, and employees are not liable for the acts of individuals on conditional release unless the department, its officers, agents,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0eef77f9e48b3" /></Relationships>
</file>