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c53d08c2734e63" /></Relationships>
</file>

<file path=word/document.xml><?xml version="1.0" encoding="utf-8"?>
<w:document xmlns:w="http://schemas.openxmlformats.org/wordprocessingml/2006/main">
  <w:body>
    <w:p>
      <w:r>
        <w:rPr>
          <w:b/>
        </w:rPr>
        <w:r>
          <w:rPr/>
          <w:t xml:space="preserve">5327-S2</w:t>
        </w:r>
      </w:r>
      <w:r>
        <w:rPr>
          <w:b/>
        </w:rPr>
        <w:t xml:space="preserve"> </w:t>
        <w:t xml:space="preserve">AMH</w:t>
      </w:r>
      <w:r>
        <w:rPr>
          <w:b/>
        </w:rPr>
        <w:t xml:space="preserve"> </w:t>
        <w:r>
          <w:rPr/>
          <w:t xml:space="preserve">CYF</w:t>
        </w:r>
      </w:r>
      <w:r>
        <w:rPr>
          <w:b/>
        </w:rPr>
        <w:t xml:space="preserve"> </w:t>
        <w:r>
          <w:rPr/>
          <w:t xml:space="preserve">H1337.1</w:t>
        </w:r>
      </w:r>
      <w:r>
        <w:rPr>
          <w:b/>
        </w:rPr>
        <w:t xml:space="preserve"> - NOT FOR FLOOR USE</w:t>
      </w:r>
    </w:p>
    <w:p>
      <w:pPr>
        <w:ind w:left="0" w:right="0" w:firstLine="576"/>
      </w:pPr>
      <w:r>
        <w:rPr/>
        <w:t xml:space="preserve"> </w:t>
      </w:r>
    </w:p>
    <w:p>
      <w:pPr>
        <w:spacing w:before="480" w:after="0" w:line="408" w:lineRule="exact"/>
      </w:pPr>
      <w:r>
        <w:rPr>
          <w:b/>
          <w:u w:val="single"/>
        </w:rPr>
        <w:t xml:space="preserve">2SSB 5327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Children, Youth &amp; Families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children and youth behavioral health work group established under RCW 74.09.4951 shall convene a youth safety and well-being statewide reporting tool advisory group to review the youth safety and well-being statewide reporting tool work group report completed by the attorney general in 2020.</w:t>
      </w:r>
    </w:p>
    <w:p>
      <w:pPr>
        <w:spacing w:before="0" w:after="0" w:line="408" w:lineRule="exact"/>
        <w:ind w:left="0" w:right="0" w:firstLine="576"/>
        <w:jc w:val="left"/>
      </w:pPr>
      <w:r>
        <w:rPr/>
        <w:t xml:space="preserve">(b) The youth safety and well-being statewide reporting tool advisory group shall first determine how a new youth safety and well-being reporting tool would increase youth access to services. If the youth safety and well-being statewide reporting tool advisory group finds that creation of a new youth safety and well-being reporting tool is needed to increase youth access to services, the advisory group shall consider the following elements related to implementing the reporting tool:</w:t>
      </w:r>
    </w:p>
    <w:p>
      <w:pPr>
        <w:spacing w:before="0" w:after="0" w:line="408" w:lineRule="exact"/>
        <w:ind w:left="0" w:right="0" w:firstLine="576"/>
        <w:jc w:val="left"/>
      </w:pPr>
      <w:r>
        <w:rPr/>
        <w:t xml:space="preserve">(i) To what extent the youth safety and well-being statewide tool would provide added support or duplicative efforts alongside other reporting mechanisms, such as the:</w:t>
      </w:r>
    </w:p>
    <w:p>
      <w:pPr>
        <w:spacing w:before="0" w:after="0" w:line="408" w:lineRule="exact"/>
        <w:ind w:left="0" w:right="0" w:firstLine="576"/>
        <w:jc w:val="left"/>
      </w:pPr>
      <w:r>
        <w:rPr/>
        <w:t xml:space="preserve">(A) Universal telephone number within the United States designated for the purpose of the national suicide prevention and mental health crisis hotline system operating through the national suicide prevention lifeline, also known as the 988 crisis hotline;</w:t>
      </w:r>
    </w:p>
    <w:p>
      <w:pPr>
        <w:spacing w:before="0" w:after="0" w:line="408" w:lineRule="exact"/>
        <w:ind w:left="0" w:right="0" w:firstLine="576"/>
        <w:jc w:val="left"/>
      </w:pPr>
      <w:r>
        <w:rPr/>
        <w:t xml:space="preserve">(B) National youth safety related hotlines;</w:t>
      </w:r>
    </w:p>
    <w:p>
      <w:pPr>
        <w:spacing w:before="0" w:after="0" w:line="408" w:lineRule="exact"/>
        <w:ind w:left="0" w:right="0" w:firstLine="576"/>
        <w:jc w:val="left"/>
      </w:pPr>
      <w:r>
        <w:rPr/>
        <w:t xml:space="preserve">(C) State child abuse reporting hotline; and</w:t>
      </w:r>
    </w:p>
    <w:p>
      <w:pPr>
        <w:spacing w:before="0" w:after="0" w:line="408" w:lineRule="exact"/>
        <w:ind w:left="0" w:right="0" w:firstLine="576"/>
        <w:jc w:val="left"/>
      </w:pPr>
      <w:r>
        <w:rPr/>
        <w:t xml:space="preserve">(D) Other national, state, or local youth safety and well-being related hotlines;</w:t>
      </w:r>
    </w:p>
    <w:p>
      <w:pPr>
        <w:spacing w:before="0" w:after="0" w:line="408" w:lineRule="exact"/>
        <w:ind w:left="0" w:right="0" w:firstLine="576"/>
        <w:jc w:val="left"/>
      </w:pPr>
      <w:r>
        <w:rPr/>
        <w:t xml:space="preserve">(ii) If this youth safety and well-being reporting tool is implemented, which state agency should be responsible for implementation and whether that agency should allow for a private contractor to manage the reporting tool;</w:t>
      </w:r>
    </w:p>
    <w:p>
      <w:pPr>
        <w:spacing w:before="0" w:after="0" w:line="408" w:lineRule="exact"/>
        <w:ind w:left="0" w:right="0" w:firstLine="576"/>
        <w:jc w:val="left"/>
      </w:pPr>
      <w:r>
        <w:rPr/>
        <w:t xml:space="preserve">(iii) How this reporting tool will be integrated with existing services to support the safety and well-being of children;</w:t>
      </w:r>
    </w:p>
    <w:p>
      <w:pPr>
        <w:spacing w:before="0" w:after="0" w:line="408" w:lineRule="exact"/>
        <w:ind w:left="0" w:right="0" w:firstLine="576"/>
        <w:jc w:val="left"/>
      </w:pPr>
      <w:r>
        <w:rPr/>
        <w:t xml:space="preserve">(iv) What resources are needed to implement the reporting tool and the cost-benefit of spending resources on a reporting tool or expanding the services available to support youth safety and well-being;</w:t>
      </w:r>
    </w:p>
    <w:p>
      <w:pPr>
        <w:spacing w:before="0" w:after="0" w:line="408" w:lineRule="exact"/>
        <w:ind w:left="0" w:right="0" w:firstLine="576"/>
        <w:jc w:val="left"/>
      </w:pPr>
      <w:r>
        <w:rPr/>
        <w:t xml:space="preserve">(v) How the reporting tool could focus on supporting youth safety and well-being and limit a criminal justice response for the youth who are subjects of the reporting tool;</w:t>
      </w:r>
    </w:p>
    <w:p>
      <w:pPr>
        <w:spacing w:before="0" w:after="0" w:line="408" w:lineRule="exact"/>
        <w:ind w:left="0" w:right="0" w:firstLine="576"/>
        <w:jc w:val="left"/>
      </w:pPr>
      <w:r>
        <w:rPr/>
        <w:t xml:space="preserve">(vi) The appropriate criteria used by the reporting tool to determine referral of persons to service providers;</w:t>
      </w:r>
    </w:p>
    <w:p>
      <w:pPr>
        <w:spacing w:before="0" w:after="0" w:line="408" w:lineRule="exact"/>
        <w:ind w:left="0" w:right="0" w:firstLine="576"/>
        <w:jc w:val="left"/>
      </w:pPr>
      <w:r>
        <w:rPr/>
        <w:t xml:space="preserve">(vii) The threat assessment criteria used by the reporting tool to determine immediate referral to law enforcement, child protective services, behavioral health professionals, or other first responders;</w:t>
      </w:r>
    </w:p>
    <w:p>
      <w:pPr>
        <w:spacing w:before="0" w:after="0" w:line="408" w:lineRule="exact"/>
        <w:ind w:left="0" w:right="0" w:firstLine="576"/>
        <w:jc w:val="left"/>
      </w:pPr>
      <w:r>
        <w:rPr/>
        <w:t xml:space="preserve">(viii) The appropriate communication with education institutions, local crisis services, law enforcement, and other entities;</w:t>
      </w:r>
    </w:p>
    <w:p>
      <w:pPr>
        <w:spacing w:before="0" w:after="0" w:line="408" w:lineRule="exact"/>
        <w:ind w:left="0" w:right="0" w:firstLine="576"/>
        <w:jc w:val="left"/>
      </w:pPr>
      <w:r>
        <w:rPr/>
        <w:t xml:space="preserve">(ix) Expected services needed, existing capacity, and who would provide and pay for these services;</w:t>
      </w:r>
    </w:p>
    <w:p>
      <w:pPr>
        <w:spacing w:before="0" w:after="0" w:line="408" w:lineRule="exact"/>
        <w:ind w:left="0" w:right="0" w:firstLine="576"/>
        <w:jc w:val="left"/>
      </w:pPr>
      <w:r>
        <w:rPr/>
        <w:t xml:space="preserve">(x) The appropriate warm hand off protocols between the reporting tool and service providers;</w:t>
      </w:r>
    </w:p>
    <w:p>
      <w:pPr>
        <w:spacing w:before="0" w:after="0" w:line="408" w:lineRule="exact"/>
        <w:ind w:left="0" w:right="0" w:firstLine="576"/>
        <w:jc w:val="left"/>
      </w:pPr>
      <w:r>
        <w:rPr/>
        <w:t xml:space="preserve">(xi) Appropriate confidentiality protections for the person making the report and the subject of the report, including protections related to the public records act, data retention schedules, and data management;</w:t>
      </w:r>
    </w:p>
    <w:p>
      <w:pPr>
        <w:spacing w:before="0" w:after="0" w:line="408" w:lineRule="exact"/>
        <w:ind w:left="0" w:right="0" w:firstLine="576"/>
        <w:jc w:val="left"/>
      </w:pPr>
      <w:r>
        <w:rPr/>
        <w:t xml:space="preserve">(xii) State liability concerns related to creation and operation of a reporting tool and the response or lack of a response provided by the reporting tool;</w:t>
      </w:r>
    </w:p>
    <w:p>
      <w:pPr>
        <w:spacing w:before="0" w:after="0" w:line="408" w:lineRule="exact"/>
        <w:ind w:left="0" w:right="0" w:firstLine="576"/>
        <w:jc w:val="left"/>
      </w:pPr>
      <w:r>
        <w:rPr/>
        <w:t xml:space="preserve">(xiii) Integration with K-12 and higher education institutions;</w:t>
      </w:r>
    </w:p>
    <w:p>
      <w:pPr>
        <w:spacing w:before="0" w:after="0" w:line="408" w:lineRule="exact"/>
        <w:ind w:left="0" w:right="0" w:firstLine="576"/>
        <w:jc w:val="left"/>
      </w:pPr>
      <w:r>
        <w:rPr/>
        <w:t xml:space="preserve">(xiv) Evaluation mechanisms to review appropriateness of law enforcement responses, behavioral health services, education responses, and other responses;</w:t>
      </w:r>
    </w:p>
    <w:p>
      <w:pPr>
        <w:spacing w:before="0" w:after="0" w:line="408" w:lineRule="exact"/>
        <w:ind w:left="0" w:right="0" w:firstLine="576"/>
        <w:jc w:val="left"/>
      </w:pPr>
      <w:r>
        <w:rPr/>
        <w:t xml:space="preserve">(xv) The training needed for individuals operating the reporting tool and the service providers and first responders contacted by the reporting tool; and</w:t>
      </w:r>
    </w:p>
    <w:p>
      <w:pPr>
        <w:spacing w:before="0" w:after="0" w:line="408" w:lineRule="exact"/>
        <w:ind w:left="0" w:right="0" w:firstLine="576"/>
        <w:jc w:val="left"/>
      </w:pPr>
      <w:r>
        <w:rPr/>
        <w:t xml:space="preserve">(xvi) Marketing and outreach needed to inform the public about the reporting tool.</w:t>
      </w:r>
    </w:p>
    <w:p>
      <w:pPr>
        <w:spacing w:before="0" w:after="0" w:line="408" w:lineRule="exact"/>
        <w:ind w:left="0" w:right="0" w:firstLine="576"/>
        <w:jc w:val="left"/>
      </w:pPr>
      <w:r>
        <w:rPr/>
        <w:t xml:space="preserve">(c) Staff support for the youth safety and well-being statewide reporting tool advisory group, including administration of work group meetings and preparation of full work group recommendations and reports required under this section, must be provided by the health care authority.</w:t>
      </w:r>
    </w:p>
    <w:p>
      <w:pPr>
        <w:spacing w:before="0" w:after="0" w:line="408" w:lineRule="exact"/>
        <w:ind w:left="0" w:right="0" w:firstLine="576"/>
        <w:jc w:val="left"/>
      </w:pPr>
      <w:r>
        <w:rPr/>
        <w:t xml:space="preserve">(d) The youth safety and well-being statewide reporting tool advisory group shall choose a chair who is a member of the legislature or from among the members of the children and youth behavioral health work group established under RCW 74.09.4951.</w:t>
      </w:r>
    </w:p>
    <w:p>
      <w:pPr>
        <w:spacing w:before="0" w:after="0" w:line="408" w:lineRule="exact"/>
        <w:ind w:left="0" w:right="0" w:firstLine="576"/>
        <w:jc w:val="left"/>
      </w:pPr>
      <w:r>
        <w:rPr/>
        <w:t xml:space="preserve">(2) By November 1, 2022, and in compliance with RCW 43.01.036, the youth safety and well-being statewide reporting tool advisory group to the children and youth behavioral health work group established under RCW 74.09.4951 shall submit a report to the governor and the appropriate committees of the legislature that details the review required under subsection (1) of this section and includes recommendations regarding a youth safety and well-being tip line based on that review.</w:t>
      </w:r>
    </w:p>
    <w:p>
      <w:pPr>
        <w:spacing w:before="0" w:after="0" w:line="408" w:lineRule="exact"/>
        <w:ind w:left="0" w:right="0" w:firstLine="576"/>
        <w:jc w:val="left"/>
      </w:pPr>
      <w:r>
        <w:rPr/>
        <w:t xml:space="preserve">(3) This section expires June 30,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Replaces the creation of the youth safety and well-being tip line with a requirement that the children and youth behavioral health work group convene a youth safety and well-being statewide reporting tool advisory group to review the youth safety and well-being statewide reporting tool work group report completed by the Attorney General's Office.</w:t>
      </w:r>
    </w:p>
    <w:p>
      <w:pPr>
        <w:spacing w:before="0" w:after="0" w:line="408" w:lineRule="exact"/>
        <w:ind w:left="0" w:right="0" w:firstLine="576"/>
        <w:jc w:val="left"/>
      </w:pPr>
      <w:r>
        <w:rPr/>
        <w:t xml:space="preserve">(2) Requires the youth safety and well-being statewide reporting tool advisory group to first determine how a new youth safety and well-being reporting tool would increase youth access to services, and if the youth safety and well-being statewide reporting tool advisory group finds that creation of a new youth safety and well-being reporting tool is needed to increase youth access to services, the advisory group shall consider certain elements related to reporting tool implementation.</w:t>
      </w:r>
    </w:p>
    <w:p>
      <w:pPr>
        <w:spacing w:before="0" w:after="0" w:line="408" w:lineRule="exact"/>
        <w:ind w:left="0" w:right="0" w:firstLine="576"/>
        <w:jc w:val="left"/>
      </w:pPr>
      <w:r>
        <w:rPr/>
        <w:t xml:space="preserve">(3) Requires that the children and youth behavioral health work group submit a report to the governor and the appropriate committees of the legislature by November 1, 2022, that details the review required above and includes recommendations regarding a youth safety and well-being tip line based on that review.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6c91789c224b35" /></Relationships>
</file>