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5d77860b34e73" /></Relationships>
</file>

<file path=word/document.xml><?xml version="1.0" encoding="utf-8"?>
<w:document xmlns:w="http://schemas.openxmlformats.org/wordprocessingml/2006/main">
  <w:body>
    <w:p>
      <w:r>
        <w:rPr>
          <w:b/>
        </w:rPr>
        <w:r>
          <w:rPr/>
          <w:t xml:space="preserve">5664-S2</w:t>
        </w:r>
      </w:r>
      <w:r>
        <w:rPr>
          <w:b/>
        </w:rPr>
        <w:t xml:space="preserve"> </w:t>
        <w:t xml:space="preserve">AMH</w:t>
      </w:r>
      <w:r>
        <w:rPr>
          <w:b/>
        </w:rPr>
        <w:t xml:space="preserve"> </w:t>
        <w:r>
          <w:rPr/>
          <w:t xml:space="preserve">DAVI</w:t>
        </w:r>
      </w:r>
      <w:r>
        <w:rPr>
          <w:b/>
        </w:rPr>
        <w:t xml:space="preserve"> </w:t>
        <w:r>
          <w:rPr/>
          <w:t xml:space="preserve">H2946.3</w:t>
        </w:r>
      </w:r>
      <w:r>
        <w:rPr>
          <w:b/>
        </w:rPr>
        <w:t xml:space="preserve"> - NOT FOR FLOOR USE</w:t>
      </w:r>
    </w:p>
    <w:p>
      <w:pPr>
        <w:ind w:left="0" w:right="0" w:firstLine="576"/>
      </w:pPr>
    </w:p>
    <w:p>
      <w:pPr>
        <w:spacing w:before="480" w:after="0" w:line="408" w:lineRule="exact"/>
      </w:pPr>
      <w:r>
        <w:rPr>
          <w:b/>
          <w:u w:val="single"/>
        </w:rPr>
        <w:t xml:space="preserve">2SSB 5664</w:t>
      </w:r>
      <w:r>
        <w:t xml:space="preserve"> -</w:t>
      </w:r>
      <w:r>
        <w:t xml:space="preserve"> </w:t>
        <w:t xml:space="preserve">H AMD</w:t>
      </w:r>
      <w:r>
        <w:t xml:space="preserve"> </w:t>
      </w:r>
      <w:r>
        <w:rPr>
          <w:b/>
        </w:rPr>
        <w:t xml:space="preserve">1326</w:t>
      </w:r>
    </w:p>
    <w:p>
      <w:pPr>
        <w:spacing w:before="0" w:after="0" w:line="408" w:lineRule="exact"/>
        <w:ind w:left="0" w:right="0" w:firstLine="576"/>
        <w:jc w:val="left"/>
      </w:pPr>
      <w:r>
        <w:rPr/>
        <w:t xml:space="preserve">By Representative Davis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w:t>
      </w:r>
      <w:r>
        <w:t>((</w:t>
      </w:r>
      <w:r>
        <w:rPr>
          <w:strike/>
        </w:rPr>
        <w:t xml:space="preserve">or</w:t>
      </w:r>
      <w:r>
        <w:t>))</w:t>
      </w:r>
    </w:p>
    <w:p>
      <w:pPr>
        <w:spacing w:before="0" w:after="0" w:line="408" w:lineRule="exact"/>
        <w:ind w:left="0" w:right="0" w:firstLine="576"/>
        <w:jc w:val="left"/>
      </w:pPr>
      <w:r>
        <w:rPr/>
        <w:t xml:space="preserve">(c) </w:t>
      </w:r>
      <w:r>
        <w:rPr>
          <w:u w:val="single"/>
        </w:rPr>
        <w:t xml:space="preserve">A psychiatric advanced registered nurse practitioner, as defined in RCW 71.05.020; or</w:t>
      </w:r>
    </w:p>
    <w:p>
      <w:pPr>
        <w:spacing w:before="0" w:after="0" w:line="408" w:lineRule="exact"/>
        <w:ind w:left="0" w:right="0" w:firstLine="576"/>
        <w:jc w:val="left"/>
      </w:pPr>
      <w:r>
        <w:rPr>
          <w:u w:val="single"/>
        </w:rPr>
        <w:t xml:space="preserve">(d)</w:t>
      </w:r>
      <w:r>
        <w:rPr/>
        <w:t xml:space="preserve">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u w:val="single"/>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u w:val="single"/>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complete a competency evaluation in jail and distribute the evaluation report; and</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w:t>
      </w:r>
    </w:p>
    <w:p>
      <w:pPr>
        <w:spacing w:before="0" w:after="0" w:line="408" w:lineRule="exact"/>
        <w:ind w:left="0" w:right="0" w:firstLine="576"/>
        <w:jc w:val="left"/>
      </w:pPr>
      <w:r>
        <w:rPr>
          <w:u w:val="single"/>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u w:val="single"/>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 The time periods measured in these performance targets and maximum time limits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w:t>
      </w:r>
      <w:r>
        <w:t>((</w:t>
      </w:r>
      <w:r>
        <w:rPr>
          <w:strike/>
        </w:rPr>
        <w:t xml:space="preserve">proceed or</w:t>
      </w:r>
      <w:r>
        <w:t>))</w:t>
      </w:r>
      <w:r>
        <w:rPr/>
        <w:t xml:space="preserve">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 The defendant is medically unavailable for competency evaluation or admission to a facility for competency restoration;</w:t>
      </w:r>
    </w:p>
    <w:p>
      <w:pPr>
        <w:spacing w:before="0" w:after="0" w:line="408" w:lineRule="exact"/>
        <w:ind w:left="0" w:right="0" w:firstLine="576"/>
        <w:jc w:val="left"/>
      </w:pPr>
      <w:r>
        <w:rPr>
          <w:u w:val="single"/>
        </w:rPr>
        <w:t xml:space="preserve">(e)</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(f)</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rPr>
          <w:u w:val="single"/>
        </w:rPr>
        <w:t xml:space="preserve">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r>
        <w:rPr/>
        <w:t xml:space="preserve">.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competency</w:t>
      </w:r>
      <w:r>
        <w:rPr/>
        <w:t xml:space="preserve"> restoration period</w:t>
      </w:r>
      <w:r>
        <w:rPr>
          <w:u w:val="single"/>
        </w:rPr>
        <w:t xml:space="preserve">,</w:t>
      </w:r>
      <w:r>
        <w:rPr/>
        <w:t xml:space="preserve"> or at the end of the first </w:t>
      </w:r>
      <w:r>
        <w:rPr>
          <w:u w:val="single"/>
        </w:rPr>
        <w:t xml:space="preserve">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w:t>
      </w:r>
      <w:r>
        <w:rPr>
          <w:u w:val="single"/>
        </w:rPr>
        <w:t xml:space="preserve">or is actively participating in an outpatient competency restoration program</w:t>
      </w:r>
      <w:r>
        <w:rPr/>
        <w:t xml:space="preserve">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competency restoration treatment is likely to be successful, in addition to the factors listed under RCW 10.77.092. If the prosecuting attorney proves by a preponderance of the evidence that there is a compelling state interest in ordering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w:t>
      </w:r>
      <w:r>
        <w:t>((</w:t>
      </w:r>
      <w:r>
        <w:rPr>
          <w:strike/>
        </w:rPr>
        <w:t xml:space="preserve">and</w:t>
      </w:r>
      <w:r>
        <w:t>))</w:t>
      </w:r>
      <w:r>
        <w:rPr>
          <w:u w:val="single"/>
        </w:rPr>
        <w:t xml:space="preserve">. The court may order</w:t>
      </w:r>
      <w:r>
        <w:rPr/>
        <w:t xml:space="preserve"> regular urinalysis testing </w:t>
      </w:r>
      <w:r>
        <w:t>((</w:t>
      </w:r>
      <w:r>
        <w:rPr>
          <w:strike/>
        </w:rPr>
        <w:t xml:space="preserve">for defendants who have a current substance use disorder diagnosis</w:t>
      </w:r>
      <w:r>
        <w:t>))</w:t>
      </w:r>
      <w:r>
        <w:rPr/>
        <w:t xml:space="preserv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placement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u w:val="single"/>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w:t>
      </w:r>
      <w:r>
        <w:t>((</w:t>
      </w:r>
      <w:r>
        <w:rPr>
          <w:strike/>
        </w:rPr>
        <w:t xml:space="preserve">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w:t>
      </w:r>
      <w:r>
        <w:t>((</w:t>
      </w:r>
      <w:r>
        <w:rPr>
          <w:strike/>
        </w:rPr>
        <w:t xml:space="preserve">, not to exceed ninety days. This period must be considered to include only the time the defendant is actually at the facility and shall be in addition to reasonable time for transport to or from the facility</w:t>
      </w:r>
      <w:r>
        <w:t>))</w:t>
      </w:r>
      <w:r>
        <w:rPr>
          <w:u w:val="single"/>
        </w:rPr>
        <w:t xml:space="preserve">, but the total period of inpatient competency restoration may not exceed 29 days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w:t>
      </w:r>
      <w:r>
        <w:rPr>
          <w:u w:val="single"/>
        </w:rPr>
        <w:t xml:space="preserve">if the defendant has not undergone competency restoration services or has engaged in outpatient competency restoration services and up to 72 hours if the defendant engaged in inpatient competency restoration services</w:t>
      </w:r>
      <w:r>
        <w:rPr/>
        <w:t xml:space="preserve">,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w:t>
      </w:r>
      <w:r>
        <w:rPr>
          <w:u w:val="single"/>
        </w:rPr>
        <w:t xml:space="preserve">or 72-hour</w:t>
      </w:r>
      <w:r>
        <w:rPr/>
        <w:t xml:space="preserve">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w:t>
      </w:r>
      <w:r>
        <w:rPr>
          <w:u w:val="single"/>
        </w:rPr>
        <w:t xml:space="preserve">inpatient</w:t>
      </w:r>
      <w:r>
        <w:rPr/>
        <w:t xml:space="preserve">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detain a person for medical clearance or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competency restoration programs and in what locations;</w:t>
      </w:r>
    </w:p>
    <w:p>
      <w:pPr>
        <w:spacing w:before="0" w:after="0" w:line="408" w:lineRule="exact"/>
        <w:ind w:left="0" w:right="0" w:firstLine="576"/>
        <w:jc w:val="left"/>
      </w:pPr>
      <w:r>
        <w:rPr/>
        <w:t xml:space="preserve">(2) The length of stay of individuals in outpatient competency restoration programs;</w:t>
      </w:r>
    </w:p>
    <w:p>
      <w:pPr>
        <w:spacing w:before="0" w:after="0" w:line="408" w:lineRule="exact"/>
        <w:ind w:left="0" w:right="0" w:firstLine="576"/>
        <w:jc w:val="left"/>
      </w:pPr>
      <w:r>
        <w:rPr/>
        <w:t xml:space="preserve">(3) The number of individuals who are revoked from an outpatient competency restoration program into inpatient treatment, and the outcomes of other individuals, if any, whose participation in an outpatient competency restoration program were terminated before the completion of the program; and</w:t>
      </w:r>
    </w:p>
    <w:p>
      <w:pPr>
        <w:spacing w:before="0" w:after="0" w:line="408" w:lineRule="exact"/>
        <w:ind w:left="0" w:right="0" w:firstLine="576"/>
        <w:jc w:val="left"/>
      </w:pPr>
      <w:r>
        <w:rPr/>
        <w:t xml:space="preserve">(4) For individuals who were revoked from an outpatient competency restoration program into an inpatient competency restoration program, how many days the individuals spent in outpatient competency restoration treatment and inpatient competency restoration treatment, and whether the restoration programs resulted in a finding of competent to stand trial or another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psychiatric advanced registered nurse practitioners in the definition of "professional person."</w:t>
      </w:r>
    </w:p>
    <w:p>
      <w:pPr>
        <w:spacing w:before="0" w:after="0" w:line="408" w:lineRule="exact"/>
        <w:ind w:left="0" w:right="0" w:firstLine="576"/>
        <w:jc w:val="left"/>
      </w:pPr>
      <w:r>
        <w:rPr/>
        <w:t xml:space="preserve">Revises performance targets and maximum time limits for competency services as follows: (1) To offer admission for inpatient competency evaluation or restoration, a maximum of seven days from receipt of the court order, or a maximum of 14 days from signature of the order, whichever is shorter; and (2) to complete a competency evaluation in a jail and to offer admission for a defendant ordered committed for evaluation following dismissal of felony charges, a performance target of 14 days or fewer and a maximum of 14 days from receipt of the court order, or a maximum of 21 days from signature of the order, whichever is shorter. Removes language stating that performance targets and maximum time limits run from the date the state hospital receives the court referral and charging documents, discovery, police reports, names and addresses of the party's attorneys, name of the judge ordering the evaluation, information about the alleged crime, and the defendant's criminal history.</w:t>
      </w:r>
    </w:p>
    <w:p>
      <w:pPr>
        <w:spacing w:before="0" w:after="0" w:line="408" w:lineRule="exact"/>
        <w:ind w:left="0" w:right="0" w:firstLine="576"/>
        <w:jc w:val="left"/>
      </w:pPr>
      <w:r>
        <w:rPr/>
        <w:t xml:space="preserve">Provides that when a person is removed from an outpatient competency restoration program (OCRP) to inpatient competency restoration, the time period for inpatient treatment must be reduced by the time spent in active treatment within the OCRP, excluding time periods in which the defendant was absent from the OCRP and all time from notice of termination of the outpatient competency restoration period through the defendant's admission to the facility.</w:t>
      </w:r>
    </w:p>
    <w:p>
      <w:pPr>
        <w:spacing w:before="0" w:after="0" w:line="408" w:lineRule="exact"/>
        <w:ind w:left="0" w:right="0" w:firstLine="576"/>
        <w:jc w:val="left"/>
      </w:pPr>
      <w:r>
        <w:rPr/>
        <w:t xml:space="preserve">Provides that where a medical clearance is required prior to transport of a person to an inpatient competency restoration facility, a peace officer may transport the person to specified facilities for medical clearance once a bed is available at the designated inpatient competency restoration facility.</w:t>
      </w:r>
    </w:p>
    <w:p>
      <w:pPr>
        <w:spacing w:before="0" w:after="0" w:line="408" w:lineRule="exact"/>
        <w:ind w:left="0" w:right="0" w:firstLine="576"/>
        <w:jc w:val="left"/>
      </w:pPr>
      <w:r>
        <w:rPr/>
        <w:t xml:space="preserve">For an initial competency restoration order, increases the maximum time period for outpatient competency restoration for a defendant whose highest charge is a class C felony or nonviolent class B felony from 45 days to 90 days. Specifies that if outpatient competency restoration is terminated and the defendant is admitted to an inpatient facility, the period of inpatient treatment during the first competency restoration period must not exceed 45 days.</w:t>
      </w:r>
    </w:p>
    <w:p>
      <w:pPr>
        <w:spacing w:before="0" w:after="0" w:line="408" w:lineRule="exact"/>
        <w:ind w:left="0" w:right="0" w:firstLine="576"/>
        <w:jc w:val="left"/>
      </w:pPr>
      <w:r>
        <w:rPr/>
        <w:t xml:space="preserve">Provides that a period of competency restoration treatment includes time the person is actively participating in an outpatient competency restoration program (not just the time the defendant is at a facility).</w:t>
      </w:r>
    </w:p>
    <w:p>
      <w:pPr>
        <w:spacing w:before="0" w:after="0" w:line="408" w:lineRule="exact"/>
        <w:ind w:left="0" w:right="0" w:firstLine="576"/>
        <w:jc w:val="left"/>
      </w:pPr>
      <w:r>
        <w:rPr/>
        <w:t xml:space="preserve">Provides that where a defendant is detained for a civil commitment evaluation following dismissal of charges based on incompetency to stand trial, the defendant may be detained for up to 120 hours (rather than 72 hours) if the defendant engaged in outpatient competency restoration services.</w:t>
      </w:r>
    </w:p>
    <w:p>
      <w:pPr>
        <w:spacing w:before="0" w:after="0" w:line="408" w:lineRule="exact"/>
        <w:ind w:left="0" w:right="0" w:firstLine="576"/>
        <w:jc w:val="left"/>
      </w:pPr>
      <w:r>
        <w:rPr/>
        <w:t xml:space="preserve">Provides that a competency status check may be requested when a defendant remains in jail more than 21 days after (rather than 21 days after) an order to transport the defendant to an inpatient facility, and requires notice of the request for a status check to be provided to all parties.</w:t>
      </w:r>
    </w:p>
    <w:p>
      <w:pPr>
        <w:spacing w:before="0" w:after="0" w:line="408" w:lineRule="exact"/>
        <w:ind w:left="0" w:right="0" w:firstLine="576"/>
        <w:jc w:val="left"/>
      </w:pPr>
      <w:r>
        <w:rPr/>
        <w:t xml:space="preserve">Requires the Health Care Authority to make public its annual report on OCRPs.</w:t>
      </w:r>
    </w:p>
    <w:p>
      <w:pPr>
        <w:spacing w:before="0" w:after="0" w:line="408" w:lineRule="exact"/>
        <w:ind w:left="0" w:right="0" w:firstLine="576"/>
        <w:jc w:val="left"/>
      </w:pPr>
      <w:r>
        <w:rPr/>
        <w:t xml:space="preserve">Adds an emergency clause and provides that the act takes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b6976b6984642" /></Relationships>
</file>