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36f158dcc4e8b" /></Relationships>
</file>

<file path=word/document.xml><?xml version="1.0" encoding="utf-8"?>
<w:document xmlns:w="http://schemas.openxmlformats.org/wordprocessingml/2006/main">
  <w:body>
    <w:p>
      <w:r>
        <w:rPr>
          <w:b/>
        </w:rPr>
        <w:r>
          <w:rPr/>
          <w:t xml:space="preserve">5695-S2</w:t>
        </w:r>
      </w:r>
      <w:r>
        <w:rPr>
          <w:b/>
        </w:rPr>
        <w:t xml:space="preserve"> </w:t>
        <w:t xml:space="preserve">AMH</w:t>
      </w:r>
      <w:r>
        <w:rPr>
          <w:b/>
        </w:rPr>
        <w:t xml:space="preserve"> </w:t>
        <w:r>
          <w:rPr/>
          <w:t xml:space="preserve">APP</w:t>
        </w:r>
      </w:r>
      <w:r>
        <w:rPr>
          <w:b/>
        </w:rPr>
        <w:t xml:space="preserve"> </w:t>
        <w:r>
          <w:rPr/>
          <w:t xml:space="preserve">H2939.1</w:t>
        </w:r>
      </w:r>
      <w:r>
        <w:rPr>
          <w:b/>
        </w:rPr>
        <w:t xml:space="preserve"> - NOT FOR FLOOR USE</w:t>
      </w:r>
    </w:p>
    <w:p>
      <w:pPr>
        <w:ind w:left="0" w:right="0" w:firstLine="576"/>
      </w:pPr>
    </w:p>
    <w:p>
      <w:pPr>
        <w:spacing w:before="480" w:after="0" w:line="408" w:lineRule="exact"/>
      </w:pPr>
      <w:r>
        <w:rPr>
          <w:b/>
          <w:u w:val="single"/>
        </w:rPr>
        <w:t xml:space="preserve">2SSB 5695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protect human dignity by reducing or eliminating strip searches, and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an expanded pilot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pilot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(7)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Department of Corrections (DOC) must
prioritize substance use disorder treatment services for
incarcerated individuals with certain symptoms indicating the
individual is experiencing a substance use disorder (instead of
prioritizing substance use disorder treatment services for
incarcerated individuals with certain symptoms indicating the
individual is experiencing a substance use disorder "rather than
transporting the substance for another"). Adds a provision
stating that the DOC must distinguish between incarcerated
individuals who have symptoms indicating a substance use
disorder and incarcerated individuals who transport substances
for other individuals and do not have symptoms indicating a
substance use disorder.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f9a097c124273" /></Relationships>
</file>