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b901ea44041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H2914.2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5974</w:t>
      </w:r>
      <w:r>
        <w:t xml:space="preserve"> -</w:t>
      </w:r>
      <w:r>
        <w:t xml:space="preserve"> </w:t>
        <w:t xml:space="preserve">H AMD TO H AMD (H-2869.1/22)</w:t>
      </w:r>
      <w:r>
        <w:t xml:space="preserve"> </w:t>
      </w:r>
      <w:r>
        <w:rPr>
          <w:b/>
        </w:rPr>
        <w:t xml:space="preserve">1254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OUT OF ORDER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"workers" insert "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35, strike "</w:t>
      </w:r>
      <w:r>
        <w:rPr>
          <w:b/>
        </w:rPr>
        <w:t xml:space="preserve">Exported Fuel Tax,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1, strike all of sections 201 through 207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125, beginning on line 28, strike all of section 511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Reinstates the motor vehicle fuel tax (MVFT) exemption as it applies to fuel produced in Washington and exported to other states within the United States.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revenues by $2.053 billion over 15 years to the Move Ahead WA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1a5f207e447b2" /></Relationships>
</file>