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82a7cdb8b4adc" /></Relationships>
</file>

<file path=word/document.xml><?xml version="1.0" encoding="utf-8"?>
<w:document xmlns:w="http://schemas.openxmlformats.org/wordprocessingml/2006/main">
  <w:body>
    <w:p>
      <w:r>
        <w:rPr>
          <w:b/>
        </w:rPr>
        <w:r>
          <w:rPr/>
          <w:t xml:space="preserve">1015-S2.E</w:t>
        </w:r>
      </w:r>
      <w:r>
        <w:rPr>
          <w:b/>
        </w:rPr>
        <w:t xml:space="preserve"> </w:t>
        <w:t xml:space="preserve">AMS</w:t>
      </w:r>
      <w:r>
        <w:rPr>
          <w:b/>
        </w:rPr>
        <w:t xml:space="preserve"> </w:t>
        <w:r>
          <w:rPr/>
          <w:t xml:space="preserve">BFST</w:t>
        </w:r>
      </w:r>
      <w:r>
        <w:rPr>
          <w:b/>
        </w:rPr>
        <w:t xml:space="preserve"> </w:t>
        <w:r>
          <w:rPr/>
          <w:t xml:space="preserve">S2289.1</w:t>
        </w:r>
      </w:r>
      <w:r>
        <w:rPr>
          <w:b/>
        </w:rPr>
        <w:t xml:space="preserve"> - NOT FOR FLOOR USE</w:t>
      </w:r>
    </w:p>
    <w:p>
      <w:pPr>
        <w:ind w:left="0" w:right="0" w:firstLine="576"/>
      </w:pPr>
      <w:r>
        <w:rPr/>
        <w:t xml:space="preserve"> </w:t>
      </w: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For the 2021-2023 fiscal biennium, up to five percent of the program revenues may be used for all agencies' staffing and other administrative costs related to the implementation of this act.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20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50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one-to-one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one-to-one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 awards must cease from the equitable access to credit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equitable access to credit program has been repaid, the qualified lending institution must reloan the repaid funds consistent with the terms of this chapter for a period of 10 years from the date of the grant award.</w:t>
      </w:r>
    </w:p>
    <w:p>
      <w:pPr>
        <w:spacing w:before="0" w:after="0" w:line="408" w:lineRule="exact"/>
        <w:ind w:left="0" w:right="0" w:firstLine="576"/>
        <w:jc w:val="left"/>
      </w:pPr>
      <w:r>
        <w:rPr/>
        <w:t xml:space="preserve">(8)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term;</w:t>
      </w:r>
    </w:p>
    <w:p>
      <w:pPr>
        <w:spacing w:before="0" w:after="0" w:line="408" w:lineRule="exact"/>
        <w:ind w:left="0" w:right="0" w:firstLine="576"/>
        <w:jc w:val="left"/>
      </w:pPr>
      <w:r>
        <w:rPr/>
        <w:t xml:space="preserve">(vi) The number of permanent full-time equivalent jobs projected to be created in the business due to this financing;</w:t>
      </w:r>
    </w:p>
    <w:p>
      <w:pPr>
        <w:spacing w:before="0" w:after="0" w:line="408" w:lineRule="exact"/>
        <w:ind w:left="0" w:right="0" w:firstLine="576"/>
        <w:jc w:val="left"/>
      </w:pPr>
      <w:r>
        <w:rPr/>
        <w:t xml:space="preserve">(vii) Whether the loan or investment utilized a guarantee program;</w:t>
      </w:r>
    </w:p>
    <w:p>
      <w:pPr>
        <w:spacing w:before="0" w:after="0" w:line="408" w:lineRule="exact"/>
        <w:ind w:left="0" w:right="0" w:firstLine="576"/>
        <w:jc w:val="left"/>
      </w:pPr>
      <w:r>
        <w:rPr/>
        <w:t xml:space="preserve">(viii) The North American industry classification system code;</w:t>
      </w:r>
    </w:p>
    <w:p>
      <w:pPr>
        <w:spacing w:before="0" w:after="0" w:line="408" w:lineRule="exact"/>
        <w:ind w:left="0" w:right="0" w:firstLine="576"/>
        <w:jc w:val="left"/>
      </w:pPr>
      <w:r>
        <w:rPr/>
        <w:t xml:space="preserve">(ix) The entity structure;</w:t>
      </w:r>
    </w:p>
    <w:p>
      <w:pPr>
        <w:spacing w:before="0" w:after="0" w:line="408" w:lineRule="exact"/>
        <w:ind w:left="0" w:right="0" w:firstLine="576"/>
        <w:jc w:val="left"/>
      </w:pPr>
      <w:r>
        <w:rPr/>
        <w:t xml:space="preserve">(x)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 The race of the primary investee(s) or borrower(s);</w:t>
      </w:r>
    </w:p>
    <w:p>
      <w:pPr>
        <w:spacing w:before="0" w:after="0" w:line="408" w:lineRule="exact"/>
        <w:ind w:left="0" w:right="0" w:firstLine="576"/>
        <w:jc w:val="left"/>
      </w:pPr>
      <w:r>
        <w:rPr/>
        <w:t xml:space="preserve">(xii) Whether the primary investee or borrower is Hispanic or Latino; and</w:t>
      </w:r>
    </w:p>
    <w:p>
      <w:pPr>
        <w:spacing w:before="0" w:after="0" w:line="408" w:lineRule="exact"/>
        <w:ind w:left="0" w:right="0" w:firstLine="576"/>
        <w:jc w:val="left"/>
      </w:pPr>
      <w:r>
        <w:rPr/>
        <w:t xml:space="preserve">(xiii)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(8) of this section.</w:t>
      </w:r>
    </w:p>
    <w:p>
      <w:pPr>
        <w:spacing w:before="0" w:after="0" w:line="408" w:lineRule="exact"/>
        <w:ind w:left="0" w:right="0" w:firstLine="576"/>
        <w:jc w:val="left"/>
      </w:pPr>
      <w:r>
        <w:rPr/>
        <w:t xml:space="preserve">(10) The department may contract for all or part of the administration of this section.</w:t>
      </w:r>
    </w:p>
    <w:p>
      <w:pPr>
        <w:spacing w:before="0" w:after="0" w:line="408" w:lineRule="exact"/>
        <w:ind w:left="0" w:right="0" w:firstLine="576"/>
        <w:jc w:val="left"/>
      </w:pPr>
      <w:r>
        <w:rPr/>
        <w:t xml:space="preserve">(11)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the department of commerce shall complete a program evaluation study of the equitable access to credit program. The study shall also provide recommendations on creating a lending program that serves underserved communities with the most efficient and equitable methods for providing underserved communities with access to capital. The study shall consider best practices in other states, including programs that leverage community development financial institutions. The department shall consult with qualified lending institutions, borrowers, banks, credit unions, and other relevant stakeholders. The study shall include an analysis of the rates and terms provided to borrowers using the equitable access to credit program and consider alternative methods of lending to underserved communities that result in more favorable terms to borrowers.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$16,000,000, or as much thereof as may be necessary, is appropriated for the fiscal biennium ending June 30, 2023, from the general fund</w:t>
      </w:r>
      <w:r>
        <w:rPr>
          <w:rFonts w:ascii="Times New Roman" w:hAnsi="Times New Roman"/>
        </w:rPr>
        <w:t xml:space="preserve">—</w:t>
      </w:r>
      <w:r>
        <w:rPr/>
        <w:t xml:space="preserve">federal appropriation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NOT CONSIDERED 04/26/2021</w:t>
      </w:r>
    </w:p>
    <w:p>
      <w:pPr>
        <w:spacing w:before="0" w:after="0" w:line="408" w:lineRule="exact"/>
        <w:ind w:left="0" w:right="0" w:firstLine="576"/>
        <w:jc w:val="left"/>
      </w:pPr>
      <w:r>
        <w:rPr/>
        <w:t xml:space="preserve">On page 1, line 2 of the title, after "act;" strike the remainder of the title and insert "adding a new chapter to Title 43 RCW; making an appropriation; and providing an expiration date."</w:t>
      </w:r>
    </w:p>
    <w:p>
      <w:pPr>
        <w:spacing w:before="0" w:after="0" w:line="408" w:lineRule="exact"/>
        <w:ind w:left="0" w:right="0" w:firstLine="576"/>
        <w:jc w:val="left"/>
      </w:pPr>
      <w:r>
        <w:rPr>
          <w:u w:val="single"/>
        </w:rPr>
        <w:t xml:space="preserve">EFFECT:</w:t>
      </w:r>
      <w:r>
        <w:rPr/>
        <w:t xml:space="preserve"> Removes the B&amp;O tax preference. Shifts the fund source to federal funds. Shortens the duration of the program to the 2021-2023 fiscal biennium. Requires the Department of Commerce to do a program evaluation that is due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5311cfd1d4637" /></Relationships>
</file>