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0bddde0b749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S2555.1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1, strike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6, strike all of subsection (2)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changes in Section 8 regarding search warrants and the requirement to provide notice and purpose when executing a search warrant.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23143c3cf421c" /></Relationships>
</file>