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0064bf52745bf"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FORT</w:t>
        </w:r>
      </w:r>
      <w:r>
        <w:rPr>
          <w:b/>
        </w:rPr>
        <w:t xml:space="preserve"> </w:t>
        <w:r>
          <w:rPr/>
          <w:t xml:space="preserve">S2627.2</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668</w:t>
      </w:r>
    </w:p>
    <w:p>
      <w:pPr>
        <w:spacing w:before="0" w:after="0" w:line="408" w:lineRule="exact"/>
        <w:ind w:left="0" w:right="0" w:firstLine="576"/>
        <w:jc w:val="left"/>
      </w:pPr>
      <w:r>
        <w:rPr/>
        <w:t xml:space="preserve">By Senator Fortunato</w:t>
      </w:r>
    </w:p>
    <w:p>
      <w:pPr>
        <w:jc w:val="right"/>
      </w:pPr>
      <w:r>
        <w:rPr>
          <w:b/>
        </w:rPr>
        <w:t xml:space="preserve">NOT ADOPTED 04/08/2021</w:t>
      </w:r>
    </w:p>
    <w:p>
      <w:pPr>
        <w:spacing w:before="0" w:after="0" w:line="408" w:lineRule="exact"/>
        <w:ind w:left="0" w:right="0" w:firstLine="576"/>
        <w:jc w:val="left"/>
      </w:pPr>
      <w:r>
        <w:rPr/>
        <w:t xml:space="preserve">On page 6, beginning on line 19, after "(i)" strike all material through "(ii)" on line 27 </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provision that requires the department of ecology to neutrally consider the life-cycle emissions associated with transportation fuels with respect to the political jurisdiction in which the fuels originated and to not discriminate against fuels on the basis of having originated in another state or jurisdiction.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6d0d63a22c4675" /></Relationships>
</file>