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8ceff2d5144f5" /></Relationships>
</file>

<file path=word/document.xml><?xml version="1.0" encoding="utf-8"?>
<w:document xmlns:w="http://schemas.openxmlformats.org/wordprocessingml/2006/main">
  <w:body>
    <w:p>
      <w:r>
        <w:rPr>
          <w:b/>
        </w:rPr>
        <w:r>
          <w:rPr/>
          <w:t xml:space="preserve">1107-S</w:t>
        </w:r>
      </w:r>
      <w:r>
        <w:rPr>
          <w:b/>
        </w:rPr>
        <w:t xml:space="preserve"> </w:t>
        <w:t xml:space="preserve">AMS</w:t>
      </w:r>
      <w:r>
        <w:rPr>
          <w:b/>
        </w:rPr>
        <w:t xml:space="preserve"> </w:t>
        <w:r>
          <w:rPr/>
          <w:t xml:space="preserve">WM</w:t>
        </w:r>
      </w:r>
      <w:r>
        <w:rPr>
          <w:b/>
        </w:rPr>
        <w:t xml:space="preserve"> </w:t>
        <w:r>
          <w:rPr/>
          <w:t xml:space="preserve">S2335.1</w:t>
        </w:r>
      </w:r>
      <w:r>
        <w:rPr>
          <w:b/>
        </w:rPr>
        <w:t xml:space="preserve"> - NOT FOR FLOOR USE</w:t>
      </w:r>
    </w:p>
    <w:p>
      <w:pPr>
        <w:ind w:left="0" w:right="0" w:firstLine="576"/>
      </w:pPr>
      <w:r>
        <w:rPr/>
        <w:t xml:space="preserve"> </w:t>
      </w:r>
    </w:p>
    <w:p>
      <w:pPr>
        <w:spacing w:before="480" w:after="0" w:line="408" w:lineRule="exact"/>
      </w:pPr>
      <w:r>
        <w:rPr>
          <w:b/>
          <w:u w:val="single"/>
        </w:rPr>
        <w:t xml:space="preserve">SHB 1107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2015 3rd sp.s. c 6 s 802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w:t>
      </w:r>
      <w:r>
        <w:rPr>
          <w:u w:val="single"/>
        </w:rPr>
        <w:t xml:space="preserve">or county</w:t>
      </w:r>
      <w:r>
        <w:rPr/>
        <w:t xml:space="preserve"> of principal operation </w:t>
      </w:r>
      <w:r>
        <w:t>((</w:t>
      </w:r>
      <w:r>
        <w:rPr>
          <w:strike/>
        </w:rPr>
        <w:t xml:space="preserve">or</w:t>
      </w:r>
      <w:r>
        <w:t>))</w:t>
      </w:r>
      <w:r>
        <w:rPr>
          <w:u w:val="single"/>
        </w:rPr>
        <w:t xml:space="preserve">,</w:t>
      </w:r>
      <w:r>
        <w:rPr/>
        <w:t xml:space="preserve"> has been issued a valid number under federal law</w:t>
      </w:r>
      <w:r>
        <w:rPr>
          <w:u w:val="single"/>
        </w:rPr>
        <w:t xml:space="preserve">, or has a valid United States customs service cruising license issued under 19 C.F.R. Sec. 4.94</w:t>
      </w:r>
      <w:r>
        <w:rPr/>
        <w:t xml:space="preserve">; and</w:t>
      </w:r>
    </w:p>
    <w:p>
      <w:pPr>
        <w:spacing w:before="0" w:after="0" w:line="408" w:lineRule="exact"/>
        <w:ind w:left="0" w:right="0" w:firstLine="576"/>
        <w:jc w:val="left"/>
      </w:pPr>
      <w:r>
        <w:rPr/>
        <w:t xml:space="preserve">(b) Has been brought into Washington state </w:t>
      </w:r>
      <w:r>
        <w:t>((</w:t>
      </w:r>
      <w:r>
        <w:rPr>
          <w:strike/>
        </w:rPr>
        <w:t xml:space="preserve">for personal use</w:t>
      </w:r>
      <w:r>
        <w:t>))</w:t>
      </w:r>
      <w:r>
        <w:rPr/>
        <w:t xml:space="preserve"> for not more than six months in any continuous twelve-month period</w:t>
      </w:r>
      <w:r>
        <w:rPr>
          <w:u w:val="single"/>
        </w:rPr>
        <w:t xml:space="preserve">, and is used:</w:t>
      </w:r>
    </w:p>
    <w:p>
      <w:pPr>
        <w:spacing w:before="0" w:after="0" w:line="408" w:lineRule="exact"/>
        <w:ind w:left="0" w:right="0" w:firstLine="576"/>
        <w:jc w:val="left"/>
      </w:pPr>
      <w:r>
        <w:rPr>
          <w:u w:val="single"/>
        </w:rPr>
        <w:t xml:space="preserve">(i) For personal use; or</w:t>
      </w:r>
    </w:p>
    <w:p>
      <w:pPr>
        <w:spacing w:before="0" w:after="0" w:line="408" w:lineRule="exact"/>
        <w:ind w:left="0" w:right="0" w:firstLine="576"/>
        <w:jc w:val="left"/>
      </w:pPr>
      <w:r>
        <w:rPr>
          <w:u w:val="single"/>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r>
        <w:rPr/>
        <w:t xml:space="preserve">.</w:t>
      </w:r>
    </w:p>
    <w:p>
      <w:pPr>
        <w:spacing w:before="0" w:after="0" w:line="408" w:lineRule="exact"/>
        <w:ind w:left="0" w:right="0" w:firstLine="576"/>
        <w:jc w:val="left"/>
      </w:pPr>
      <w:r>
        <w:rPr/>
        <w:t xml:space="preserve">(2) In addition to the requirements in subsection (1) of this section, a nonresident vessel owner that is not a natural person</w:t>
      </w:r>
      <w:r>
        <w:rPr>
          <w:u w:val="single"/>
        </w:rPr>
        <w:t xml:space="preserve">, or a nonresident vessel owner who is a natural person who intends to charter the vessel with a captain or crew as provided in subsection (1)(b)(ii) of this section,</w:t>
      </w:r>
      <w:r>
        <w:rPr/>
        <w:t xml:space="preserve"> may only obtain a nonresident vessel permit if:</w:t>
      </w:r>
    </w:p>
    <w:p>
      <w:pPr>
        <w:spacing w:before="0" w:after="0" w:line="408" w:lineRule="exact"/>
        <w:ind w:left="0" w:right="0" w:firstLine="576"/>
        <w:jc w:val="left"/>
      </w:pPr>
      <w:r>
        <w:rPr/>
        <w:t xml:space="preserve">(a) The vessel is at least thirty feet in length, but no more than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w:t>
      </w:r>
    </w:p>
    <w:p>
      <w:pPr>
        <w:spacing w:before="0" w:after="0" w:line="408" w:lineRule="exact"/>
        <w:ind w:left="0" w:right="0" w:firstLine="576"/>
        <w:jc w:val="left"/>
      </w:pPr>
      <w:r>
        <w:rPr/>
        <w:t xml:space="preserve">(b) No Washington state resident </w:t>
      </w:r>
      <w:r>
        <w:rPr>
          <w:u w:val="single"/>
        </w:rPr>
        <w:t xml:space="preserve">owns the vessel or</w:t>
      </w:r>
      <w:r>
        <w:rPr/>
        <w:t xml:space="preserve"> is a principal, as defined in RCW 82.32.865, of the nonresident person </w:t>
      </w:r>
      <w:r>
        <w:rPr>
          <w:u w:val="single"/>
        </w:rPr>
        <w:t xml:space="preserve">which owns the vessel</w:t>
      </w:r>
      <w:r>
        <w:rPr/>
        <w:t xml:space="preserve">;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rPr>
          <w:u w:val="single"/>
        </w:rPr>
        <w:t xml:space="preserve">and</w:t>
      </w:r>
    </w:p>
    <w:p>
      <w:pPr>
        <w:spacing w:before="0" w:after="0" w:line="408" w:lineRule="exact"/>
        <w:ind w:left="0" w:right="0" w:firstLine="576"/>
        <w:jc w:val="left"/>
      </w:pPr>
      <w:r>
        <w:rPr/>
        <w:t xml:space="preserve">(c) Is valid for two months</w:t>
      </w:r>
      <w:r>
        <w:t>((</w:t>
      </w:r>
      <w:r>
        <w:rPr>
          <w:strike/>
        </w:rPr>
        <w:t xml:space="preserve">; and</w:t>
      </w:r>
    </w:p>
    <w:p>
      <w:pPr>
        <w:spacing w:before="0" w:after="0" w:line="408" w:lineRule="exact"/>
        <w:ind w:left="0" w:right="0" w:firstLine="576"/>
        <w:jc w:val="left"/>
      </w:pPr>
      <w:r>
        <w:rPr>
          <w:strike/>
        </w:rPr>
        <w:t xml:space="preserve">(d) May not be issued after December 31, 2025, to a nonresident vessel owner that is not a natural person</w:t>
      </w:r>
      <w:r>
        <w:t>))</w:t>
      </w:r>
      <w:r>
        <w:rPr/>
        <w:t xml:space="preserve">.</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w:t>
      </w:r>
      <w:r>
        <w:rPr>
          <w:u w:val="single"/>
        </w:rPr>
        <w:t xml:space="preserve">or for any permits issued to a natural person who intends to charter the vessel with a captain or crew as provided in subsection (1)(b)(ii) of this section,</w:t>
      </w:r>
      <w:r>
        <w:rPr/>
        <w:t xml:space="preserve">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w:t>
      </w:r>
      <w:r>
        <w:t>((</w:t>
      </w:r>
      <w:r>
        <w:rPr>
          <w:strike/>
        </w:rPr>
        <w:t xml:space="preserve">A nonresident vessel owner that is not a natural person may not obtain more than two nonresident vessel permits under RCW 88.02.620 within any thirty-six month period</w:t>
      </w:r>
      <w:r>
        <w:t>))</w:t>
      </w:r>
      <w:r>
        <w:rPr/>
        <w:t xml:space="preserve"> </w:t>
      </w:r>
      <w:r>
        <w:rPr>
          <w:u w:val="single"/>
        </w:rPr>
        <w:t xml:space="preserve">In addition to the applicable fees under this section, vessel owners who obtain a nonresident vessel permit for the purposes of chartering their vessel with a captain or crew are subject to use tax as provided in section 6 of this act</w:t>
      </w:r>
      <w:r>
        <w:rPr/>
        <w:t xml:space="preserve">.</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865</w:t>
      </w:r>
      <w:r>
        <w:rPr/>
        <w:t xml:space="preserve"> and 2015 3rd sp.s. c 6 s 805 are each amended to read as follows:</w:t>
      </w:r>
    </w:p>
    <w:p>
      <w:pPr>
        <w:spacing w:before="0" w:after="0" w:line="408" w:lineRule="exact"/>
        <w:ind w:left="0" w:right="0" w:firstLine="576"/>
        <w:jc w:val="left"/>
      </w:pPr>
      <w:r>
        <w:rPr/>
        <w:t xml:space="preserve">(1) A nonresident vessel owner that is not a natural person</w:t>
      </w:r>
      <w:r>
        <w:rPr>
          <w:u w:val="single"/>
        </w:rPr>
        <w:t xml:space="preserve">, or a nonresident vessel owner who intends to charter the vessel with a captain or crew as provided in RCW 88.02.620(1)(b)(ii),</w:t>
      </w:r>
      <w:r>
        <w:rPr/>
        <w:t xml:space="preserve">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w:t>
      </w:r>
      <w:r>
        <w:t>((</w:t>
      </w:r>
      <w:r>
        <w:rPr>
          <w:strike/>
        </w:rPr>
        <w:t xml:space="preserve">on behalf of the nonresident person</w:t>
      </w:r>
      <w:r>
        <w:t>))</w:t>
      </w:r>
      <w:r>
        <w:rPr/>
        <w:t xml:space="preserve">;</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w:t>
      </w:r>
      <w:r>
        <w:rPr>
          <w:u w:val="single"/>
        </w:rPr>
        <w:t xml:space="preserve">, as applicable,</w:t>
      </w:r>
      <w:r>
        <w:rPr/>
        <w:t xml:space="preserve">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w:t>
      </w:r>
      <w:r>
        <w:rPr>
          <w:u w:val="single"/>
        </w:rPr>
        <w:t xml:space="preserve">the natural person owning the charter vessel or</w:t>
      </w:r>
      <w:r>
        <w:rPr/>
        <w:t xml:space="preserve"> all principals of the nonresident person </w:t>
      </w:r>
      <w:r>
        <w:rPr>
          <w:u w:val="single"/>
        </w:rPr>
        <w:t xml:space="preserve">owning the vessel</w:t>
      </w:r>
      <w:r>
        <w:rPr/>
        <w:t xml:space="preserve">.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w:t>
      </w:r>
      <w:r>
        <w:t>((</w:t>
      </w:r>
      <w:r>
        <w:rPr>
          <w:strike/>
        </w:rPr>
        <w:t xml:space="preserve">a principal</w:t>
      </w:r>
      <w:r>
        <w:t>))</w:t>
      </w:r>
      <w:r>
        <w:rPr/>
        <w:t xml:space="preserve"> </w:t>
      </w:r>
      <w:r>
        <w:rPr>
          <w:u w:val="single"/>
        </w:rPr>
        <w:t xml:space="preserve">the owner</w:t>
      </w:r>
      <w:r>
        <w:rPr/>
        <w:t xml:space="preserve"> of the nonresident </w:t>
      </w:r>
      <w:r>
        <w:rPr>
          <w:u w:val="single"/>
        </w:rPr>
        <w:t xml:space="preserve">charter</w:t>
      </w:r>
      <w:r>
        <w:rPr/>
        <w:t xml:space="preserve"> vessel </w:t>
      </w:r>
      <w:r>
        <w:t>((</w:t>
      </w:r>
      <w:r>
        <w:rPr>
          <w:strike/>
        </w:rPr>
        <w:t xml:space="preserve">owner</w:t>
      </w:r>
      <w:r>
        <w:t>))</w:t>
      </w:r>
      <w:r>
        <w:rPr>
          <w:u w:val="single"/>
        </w:rPr>
        <w:t xml:space="preserve">, or by a principal of the entity owning the nonresident vessel,</w:t>
      </w:r>
      <w:r>
        <w:rPr/>
        <w:t xml:space="preserve"> certifying that </w:t>
      </w:r>
      <w:r>
        <w:rPr>
          <w:u w:val="single"/>
        </w:rPr>
        <w:t xml:space="preserve">the owner is not a Washington resident or that</w:t>
      </w:r>
      <w:r>
        <w:rPr/>
        <w:t xml:space="preserve"> no Washington residents are principals of the nonresident vessel owner</w:t>
      </w:r>
      <w:r>
        <w:rPr>
          <w:u w:val="single"/>
        </w:rPr>
        <w:t xml:space="preserve">, as the case may be</w:t>
      </w:r>
      <w:r>
        <w:rPr/>
        <w:t xml:space="preserve">;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w:t>
      </w:r>
      <w:r>
        <w:t>((</w:t>
      </w:r>
      <w:r>
        <w:rPr>
          <w:strike/>
        </w:rPr>
        <w:t xml:space="preserve">, and may request additional information as needed directly from the nonresident vessel owner</w:t>
      </w:r>
      <w:r>
        <w:t>))</w:t>
      </w:r>
      <w:r>
        <w:rPr/>
        <w:t xml:space="preserve">. </w:t>
      </w:r>
      <w:r>
        <w:rPr>
          <w:u w:val="single"/>
        </w:rPr>
        <w:t xml:space="preserve">The department may require additional proof of eligibility directly from the nonresident vessel owner.</w:t>
      </w:r>
    </w:p>
    <w:p>
      <w:pPr>
        <w:spacing w:before="0" w:after="0" w:line="408" w:lineRule="exact"/>
        <w:ind w:left="0" w:right="0" w:firstLine="576"/>
        <w:jc w:val="left"/>
      </w:pPr>
      <w:r>
        <w:rPr/>
        <w:t xml:space="preserve">(3)(a) If the </w:t>
      </w:r>
      <w:r>
        <w:rPr>
          <w:u w:val="single"/>
        </w:rPr>
        <w:t xml:space="preserve">department determines that the</w:t>
      </w:r>
      <w:r>
        <w:rPr/>
        <w:t xml:space="preserve"> nonresident vessel owner </w:t>
      </w:r>
      <w:r>
        <w:t>((</w:t>
      </w:r>
      <w:r>
        <w:rPr>
          <w:strike/>
        </w:rPr>
        <w:t xml:space="preserve">appears</w:t>
      </w:r>
      <w:r>
        <w:t>))</w:t>
      </w:r>
      <w:r>
        <w:rPr/>
        <w:t xml:space="preserve"> </w:t>
      </w:r>
      <w:r>
        <w:rPr>
          <w:u w:val="single"/>
        </w:rPr>
        <w:t xml:space="preserve">has established by clear, cogent, and convincing evidence that it is</w:t>
      </w:r>
      <w:r>
        <w:rPr/>
        <w:t xml:space="preserve"> eligible for the permit, the department must provide written approval to the nonresident vessel owner that authorizes issuance of the permit and includes the name of the nonresident vessel owner, the name of the vessel, and the hull identification number. </w:t>
      </w:r>
      <w:r>
        <w:t>((</w:t>
      </w:r>
      <w:r>
        <w:rPr>
          <w:strike/>
        </w:rPr>
        <w:t xml:space="preserve">After November 30, 2025, the department may not provide written approval for any permits under this subsection.</w:t>
      </w:r>
      <w:r>
        <w:t>))</w:t>
      </w:r>
      <w:r>
        <w:rPr/>
        <w:t xml:space="preserve"> </w:t>
      </w:r>
      <w:r>
        <w:rPr>
          <w:u w:val="single"/>
        </w:rPr>
        <w:t xml:space="preserve">Otherwise, the department must refuse to authorize the issuance of the permit.</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w:t>
      </w:r>
      <w:r>
        <w:rPr>
          <w:u w:val="single"/>
        </w:rPr>
        <w:t xml:space="preserve">By January 1, 2026, the department must submit a report to the governor and the transportation and fiscal committees of the legislature. The report must include:</w:t>
      </w:r>
    </w:p>
    <w:p>
      <w:pPr>
        <w:spacing w:before="0" w:after="0" w:line="408" w:lineRule="exact"/>
        <w:ind w:left="0" w:right="0" w:firstLine="576"/>
        <w:jc w:val="left"/>
      </w:pPr>
      <w:r>
        <w:rPr>
          <w:u w:val="single"/>
        </w:rPr>
        <w:t xml:space="preserve">(a) The number of nonresident vessel permits the department authorized for approval in each calendar year since September 1, 2015, and the length of such vessels;</w:t>
      </w:r>
    </w:p>
    <w:p>
      <w:pPr>
        <w:spacing w:before="0" w:after="0" w:line="408" w:lineRule="exact"/>
        <w:ind w:left="0" w:right="0" w:firstLine="576"/>
        <w:jc w:val="left"/>
      </w:pPr>
      <w:r>
        <w:rPr>
          <w:u w:val="single"/>
        </w:rPr>
        <w:t xml:space="preserve">(b) The number of nonresident vessel permits the department authorized for approval in each calendar year since the effective date of this section for vessels chartered with a captain or crew;</w:t>
      </w:r>
    </w:p>
    <w:p>
      <w:pPr>
        <w:spacing w:before="0" w:after="0" w:line="408" w:lineRule="exact"/>
        <w:ind w:left="0" w:right="0" w:firstLine="576"/>
        <w:jc w:val="left"/>
      </w:pPr>
      <w:r>
        <w:rPr>
          <w:u w:val="single"/>
        </w:rPr>
        <w:t xml:space="preserve">(c) Information about the state or country where the vessels described in (a) and (b) of this subsection are primarily operated;</w:t>
      </w:r>
    </w:p>
    <w:p>
      <w:pPr>
        <w:spacing w:before="0" w:after="0" w:line="408" w:lineRule="exact"/>
        <w:ind w:left="0" w:right="0" w:firstLine="576"/>
        <w:jc w:val="left"/>
      </w:pPr>
      <w:r>
        <w:rPr>
          <w:u w:val="single"/>
        </w:rPr>
        <w:t xml:space="preserve">(d) The amount of use tax collected on vessels described in (b) of this subsection;</w:t>
      </w:r>
    </w:p>
    <w:p>
      <w:pPr>
        <w:spacing w:before="0" w:after="0" w:line="408" w:lineRule="exact"/>
        <w:ind w:left="0" w:right="0" w:firstLine="576"/>
        <w:jc w:val="left"/>
      </w:pPr>
      <w:r>
        <w:rPr>
          <w:u w:val="single"/>
        </w:rPr>
        <w:t xml:space="preserve">(e) A discussion of any evidence of fraud or attempted fraud related to nonresident vessel permits or permit applications; and</w:t>
      </w:r>
    </w:p>
    <w:p>
      <w:pPr>
        <w:spacing w:before="0" w:after="0" w:line="408" w:lineRule="exact"/>
        <w:ind w:left="0" w:right="0" w:firstLine="576"/>
        <w:jc w:val="left"/>
      </w:pPr>
      <w:r>
        <w:rPr>
          <w:u w:val="single"/>
        </w:rPr>
        <w:t xml:space="preserve">(f) Any other information the department determines may be relevant.</w:t>
      </w:r>
    </w:p>
    <w:p>
      <w:pPr>
        <w:spacing w:before="0" w:after="0" w:line="408" w:lineRule="exact"/>
        <w:ind w:left="0" w:right="0" w:firstLine="576"/>
        <w:jc w:val="left"/>
      </w:pPr>
      <w:r>
        <w:rPr>
          <w:u w:val="single"/>
        </w:rPr>
        <w:t xml:space="preserve">(7)</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302</w:t>
      </w:r>
      <w:r>
        <w:rPr/>
        <w:t xml:space="preserve"> (uncodified) is amended to read as follows:</w:t>
      </w:r>
    </w:p>
    <w:p>
      <w:pPr>
        <w:spacing w:before="0" w:after="0" w:line="408" w:lineRule="exact"/>
        <w:ind w:left="0" w:right="0" w:firstLine="576"/>
        <w:jc w:val="left"/>
      </w:pPr>
      <w:r>
        <w:rPr/>
        <w:t xml:space="preserve">(1) Sections 802 and 804, chapter 6, Laws of 2015 3rd sp. sess. expire </w:t>
      </w:r>
      <w:r>
        <w:t>((</w:t>
      </w:r>
      <w:r>
        <w:rPr>
          <w:strike/>
        </w:rPr>
        <w:t xml:space="preserve">July</w:t>
      </w:r>
      <w:r>
        <w:t>))</w:t>
      </w:r>
      <w:r>
        <w:rPr/>
        <w:t xml:space="preserve"> </w:t>
      </w:r>
      <w:r>
        <w:rPr>
          <w:u w:val="single"/>
        </w:rPr>
        <w:t xml:space="preserve">January</w:t>
      </w:r>
      <w:r>
        <w:rPr/>
        <w:t xml:space="preserve"> 1, </w:t>
      </w:r>
      <w:r>
        <w:t>((</w:t>
      </w:r>
      <w:r>
        <w:rPr>
          <w:strike/>
        </w:rPr>
        <w:t xml:space="preserve">2026</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(2) Section 803, chapter 6, Laws of 2015 3rd sp. sess. expires January 1, </w:t>
      </w:r>
      <w:r>
        <w:t>((</w:t>
      </w:r>
      <w:r>
        <w:rPr>
          <w:strike/>
        </w:rPr>
        <w:t xml:space="preserve">2026</w:t>
      </w:r>
      <w:r>
        <w:t>))</w:t>
      </w:r>
      <w:r>
        <w:rPr/>
        <w:t xml:space="preserve"> </w:t>
      </w:r>
      <w:r>
        <w:rPr>
          <w:u w:val="single"/>
        </w:rPr>
        <w:t xml:space="preserve">2029</w:t>
      </w:r>
      <w:r>
        <w:rPr/>
        <w:t xml:space="preserve">; and</w:t>
      </w:r>
    </w:p>
    <w:p>
      <w:pPr>
        <w:spacing w:before="0" w:after="0" w:line="408" w:lineRule="exact"/>
        <w:ind w:left="0" w:right="0" w:firstLine="576"/>
        <w:jc w:val="left"/>
      </w:pPr>
      <w:r>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303</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VIII, chapter 6, Laws of 2015 3rd sp. sess. in achieving the public policy objective in (c) of this subsection, the joint legislative audit and review committee must provide the following in a published evaluation of this tax preference by December 31, </w:t>
      </w:r>
      <w:r>
        <w:t>((</w:t>
      </w:r>
      <w:r>
        <w:rPr>
          <w:strike/>
        </w:rPr>
        <w:t xml:space="preserve">2024</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provisions of this chapter do not apply to the use of a vessel exempt from registration under RCW 88.02.570(12).</w:t>
      </w:r>
    </w:p>
    <w:p>
      <w:pPr>
        <w:spacing w:before="0" w:after="0" w:line="408" w:lineRule="exact"/>
        <w:ind w:left="0" w:right="0" w:firstLine="576"/>
        <w:jc w:val="left"/>
      </w:pPr>
      <w:r>
        <w:rPr/>
        <w:t xml:space="preserve">(2) The use of a vessel exempt from registration under RCW 88.02.570(12) for chartering with a captain or crew is subject to the tax imposed in RCW 82.12.020 based on the reasonable bare rental value of the vessel as provided in RCW 82.12.010(7)(c).</w:t>
      </w:r>
    </w:p>
    <w:p>
      <w:pPr>
        <w:spacing w:before="0" w:after="0" w:line="408" w:lineRule="exact"/>
        <w:ind w:left="0" w:right="0" w:firstLine="576"/>
        <w:jc w:val="left"/>
      </w:pPr>
      <w:r>
        <w:rPr/>
        <w:t xml:space="preserve">(3)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January 1, 2029."</w:t>
      </w:r>
    </w:p>
    <w:p>
      <w:pPr>
        <w:spacing w:before="480" w:after="0" w:line="408" w:lineRule="exact"/>
      </w:pPr>
      <w:r>
        <w:rPr>
          <w:b/>
          <w:u w:val="single"/>
        </w:rPr>
        <w:t xml:space="preserve">SHB 1107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04/06/2021</w:t>
      </w:r>
    </w:p>
    <w:p>
      <w:pPr>
        <w:spacing w:before="0" w:after="0" w:line="408" w:lineRule="exact"/>
        <w:ind w:left="0" w:right="0" w:firstLine="576"/>
        <w:jc w:val="left"/>
      </w:pPr>
      <w:r>
        <w:rPr/>
        <w:t xml:space="preserve">On page 1, line 2 of the title, after "provisions;" strike the remainder of the title and insert "amending RCW 88.02.620, 88.02.640, and 82.32.865; amending 2017 c 323 §§ 302 and 303 (uncodified); adding a new section to chapter 82.12 RCW; and providing expiration dates."</w:t>
      </w:r>
    </w:p>
    <w:p>
      <w:pPr>
        <w:spacing w:before="0" w:after="0" w:line="408" w:lineRule="exact"/>
        <w:ind w:left="0" w:right="0" w:firstLine="576"/>
        <w:jc w:val="left"/>
      </w:pPr>
      <w:r>
        <w:rPr>
          <w:u w:val="single"/>
        </w:rPr>
        <w:t xml:space="preserve">EFFECT:</w:t>
      </w:r>
      <w:r>
        <w:rPr/>
        <w:t xml:space="preserve"> (1) Clarifies that nonresident vessel permits are available to vessels from outside the country, as long as they have a valid cruising license issued by United States Customs.</w:t>
      </w:r>
    </w:p>
    <w:p>
      <w:pPr>
        <w:spacing w:before="0" w:after="0" w:line="408" w:lineRule="exact"/>
        <w:ind w:left="0" w:right="0" w:firstLine="576"/>
        <w:jc w:val="left"/>
      </w:pPr>
      <w:r>
        <w:rPr/>
        <w:t xml:space="preserve">(2) Allows for a qualifying charter transit to and from under the nonresident vessel permit, but that transit time does not count toward the duration of the charter.</w:t>
      </w:r>
    </w:p>
    <w:p>
      <w:pPr>
        <w:spacing w:before="0" w:after="0" w:line="408" w:lineRule="exact"/>
        <w:ind w:left="0" w:right="0" w:firstLine="576"/>
        <w:jc w:val="left"/>
      </w:pPr>
      <w:r>
        <w:rPr/>
        <w:t xml:space="preserve">(3) Subjects qualifying charter vessels owned by natural persons to the same requirements as entity-owned vessels.</w:t>
      </w:r>
    </w:p>
    <w:p>
      <w:pPr>
        <w:spacing w:before="0" w:after="0" w:line="408" w:lineRule="exact"/>
        <w:ind w:left="0" w:right="0" w:firstLine="576"/>
        <w:jc w:val="left"/>
      </w:pPr>
      <w:r>
        <w:rPr/>
        <w:t xml:space="preserve">(4) Removes a subsection that expanded the definition of "nonresident vessel owner that is not a natural person."</w:t>
      </w:r>
    </w:p>
    <w:p>
      <w:pPr>
        <w:spacing w:before="0" w:after="0" w:line="408" w:lineRule="exact"/>
        <w:ind w:left="0" w:right="0" w:firstLine="576"/>
        <w:jc w:val="left"/>
      </w:pPr>
      <w:r>
        <w:rPr/>
        <w:t xml:space="preserve">(5) Subjects vessels with nonresident vessel permits that are chartered with a captain or crew to use tax based on the fair rental value of the bare vessel being chartered.</w:t>
      </w:r>
    </w:p>
    <w:p>
      <w:pPr>
        <w:spacing w:before="0" w:after="0" w:line="408" w:lineRule="exact"/>
        <w:ind w:left="0" w:right="0" w:firstLine="576"/>
        <w:jc w:val="left"/>
      </w:pPr>
      <w:r>
        <w:rPr/>
        <w:t xml:space="preserve">(6) Requires that nonresident entities provide clear, cogent, and convincing evidence that they are eligible to receive a permit.</w:t>
      </w:r>
    </w:p>
    <w:p>
      <w:pPr>
        <w:spacing w:before="0" w:after="0" w:line="408" w:lineRule="exact"/>
        <w:ind w:left="0" w:right="0" w:firstLine="576"/>
        <w:jc w:val="left"/>
      </w:pPr>
      <w:r>
        <w:rPr/>
        <w:t xml:space="preserve">(7) Expires the act on January 1, 2029, instead of 2031.</w:t>
      </w:r>
    </w:p>
    <w:p>
      <w:pPr>
        <w:spacing w:before="0" w:after="0" w:line="408" w:lineRule="exact"/>
        <w:ind w:left="0" w:right="0" w:firstLine="576"/>
        <w:jc w:val="left"/>
      </w:pPr>
      <w:r>
        <w:rPr/>
        <w:t xml:space="preserve">(8) Requires the Department of Revenue to submit a report to the Governor and fiscal committees of the Legislature by January 1, 2026, with information about vessels that have applied to the Department for authorization to be granted a permit.</w:t>
      </w:r>
    </w:p>
    <w:p>
      <w:pPr>
        <w:spacing w:before="0" w:after="0" w:line="408" w:lineRule="exact"/>
        <w:ind w:left="0" w:right="0" w:firstLine="576"/>
        <w:jc w:val="left"/>
      </w:pPr>
      <w:r>
        <w:rPr/>
        <w:t xml:space="preserve">(9) Changes from December 31, 2030, to December 31, 2028, the due date for the Joint Legislative Audit and Review Committee evaluation.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606c166674a4a" /></Relationships>
</file>