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ecb6ed83e4ffe" /></Relationships>
</file>

<file path=word/document.xml><?xml version="1.0" encoding="utf-8"?>
<w:document xmlns:w="http://schemas.openxmlformats.org/wordprocessingml/2006/main">
  <w:body>
    <w:p>
      <w:r>
        <w:rPr>
          <w:b/>
        </w:rPr>
        <w:r>
          <w:rPr/>
          <w:t xml:space="preserve">1186-S2.E</w:t>
        </w:r>
      </w:r>
      <w:r>
        <w:rPr>
          <w:b/>
        </w:rPr>
        <w:t xml:space="preserve"> </w:t>
        <w:t xml:space="preserve">AMS</w:t>
      </w:r>
      <w:r>
        <w:rPr>
          <w:b/>
        </w:rPr>
        <w:t xml:space="preserve"> </w:t>
        <w:r>
          <w:rPr/>
          <w:t xml:space="preserve">WM</w:t>
        </w:r>
      </w:r>
      <w:r>
        <w:rPr>
          <w:b/>
        </w:rPr>
        <w:t xml:space="preserve"> </w:t>
        <w:r>
          <w:rPr/>
          <w:t xml:space="preserve">S2588.2</w:t>
        </w:r>
      </w:r>
      <w:r>
        <w:rPr>
          <w:b/>
        </w:rPr>
        <w:t xml:space="preserve"> - NOT FOR FLOOR USE</w:t>
      </w:r>
    </w:p>
    <w:p>
      <w:pPr>
        <w:ind w:left="0" w:right="0" w:firstLine="576"/>
      </w:pPr>
    </w:p>
    <w:p>
      <w:pPr>
        <w:spacing w:before="480" w:after="0" w:line="408" w:lineRule="exact"/>
      </w:pPr>
      <w:r>
        <w:rPr>
          <w:b/>
          <w:u w:val="single"/>
        </w:rPr>
        <w:t xml:space="preserve">E2SHB 1186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After the person's 25th birthday:</w:t>
      </w:r>
    </w:p>
    <w:p>
      <w:pPr>
        <w:spacing w:before="0" w:after="0" w:line="408" w:lineRule="exact"/>
        <w:ind w:left="0" w:right="0" w:firstLine="576"/>
        <w:jc w:val="left"/>
      </w:pPr>
      <w:r>
        <w:rPr>
          <w:u w:val="single"/>
        </w:rPr>
        <w:t xml:space="preserve">(i) If the person's earned release date is after the person's 25th birthday but on or before the person's 26th birthday; and</w:t>
      </w:r>
    </w:p>
    <w:p>
      <w:pPr>
        <w:spacing w:before="0" w:after="0" w:line="408" w:lineRule="exact"/>
        <w:ind w:left="0" w:right="0" w:firstLine="576"/>
        <w:jc w:val="left"/>
      </w:pPr>
      <w:r>
        <w:rPr>
          <w:u w:val="single"/>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u w:val="single"/>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u w:val="single"/>
        </w:rPr>
        <w:t xml:space="preserve">(i) The person has an earned release date that is before their 26th birthday; and</w:t>
      </w:r>
    </w:p>
    <w:p>
      <w:pPr>
        <w:spacing w:before="0" w:after="0" w:line="408" w:lineRule="exact"/>
        <w:ind w:left="0" w:right="0" w:firstLine="576"/>
        <w:jc w:val="left"/>
      </w:pPr>
      <w:r>
        <w:rPr>
          <w:u w:val="single"/>
        </w:rPr>
        <w:t xml:space="preserve">(ii) The</w:t>
      </w:r>
      <w:r>
        <w:rPr/>
        <w:t xml:space="preserv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 "Term of confinement" as used in subsection (1)(a) of this section means the term of confinement ordered, reduced by the total amount of earned time eligible for the offense.</w:t>
      </w:r>
    </w:p>
    <w:p>
      <w:pPr>
        <w:spacing w:before="0" w:after="0" w:line="408" w:lineRule="exact"/>
        <w:ind w:left="0" w:right="0" w:firstLine="576"/>
        <w:jc w:val="left"/>
      </w:pPr>
      <w:r>
        <w:rPr>
          <w:u w:val="single"/>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u w:val="single"/>
        </w:rPr>
        <w:t xml:space="preserve">(4)</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u w:val="single"/>
        </w:rPr>
        <w:t xml:space="preserve">(6)</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(7)</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(9)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(c) Persons who were adjudicated or convicted of the crime of murder in the first or second degree;</w:t>
      </w:r>
    </w:p>
    <w:p>
      <w:pPr>
        <w:spacing w:before="0" w:after="0" w:line="408" w:lineRule="exact"/>
        <w:ind w:left="0" w:right="0" w:firstLine="576"/>
        <w:jc w:val="left"/>
      </w:pPr>
      <w:r>
        <w:rPr>
          <w:u w:val="single"/>
        </w:rPr>
        <w:t xml:space="preserve">(d) Persons who meet the definition of a "persistent offender" as defined under RCW 9.94A.030;</w:t>
      </w:r>
    </w:p>
    <w:p>
      <w:pPr>
        <w:spacing w:before="0" w:after="0" w:line="408" w:lineRule="exact"/>
        <w:ind w:left="0" w:right="0" w:firstLine="576"/>
        <w:jc w:val="left"/>
      </w:pPr>
      <w:r>
        <w:rPr>
          <w:u w:val="single"/>
        </w:rPr>
        <w:t xml:space="preserve">(e) Level III sex offenders; and</w:t>
      </w:r>
    </w:p>
    <w:p>
      <w:pPr>
        <w:spacing w:before="0" w:after="0" w:line="408" w:lineRule="exact"/>
        <w:ind w:left="0" w:right="0" w:firstLine="576"/>
        <w:jc w:val="left"/>
      </w:pPr>
      <w:r>
        <w:rPr>
          <w:u w:val="single"/>
        </w:rPr>
        <w:t xml:space="preserve">(f) Persons requiring out-of-state placement.</w:t>
      </w:r>
    </w:p>
    <w:p>
      <w:pPr>
        <w:spacing w:before="0" w:after="0" w:line="408" w:lineRule="exact"/>
        <w:ind w:left="0" w:right="0" w:firstLine="576"/>
        <w:jc w:val="left"/>
      </w:pPr>
      <w:r>
        <w:rPr>
          <w:u w:val="single"/>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u w:val="single"/>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u w:val="single"/>
        </w:rPr>
        <w:t xml:space="preserve">(31)</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u w:val="single"/>
        </w:rPr>
        <w:t xml:space="preserve">(iii) Persons who were adjudicated or convicted of the crime of murder in the first or second degree;</w:t>
      </w:r>
    </w:p>
    <w:p>
      <w:pPr>
        <w:spacing w:before="0" w:after="0" w:line="408" w:lineRule="exact"/>
        <w:ind w:left="0" w:right="0" w:firstLine="576"/>
        <w:jc w:val="left"/>
      </w:pPr>
      <w:r>
        <w:rPr>
          <w:u w:val="single"/>
        </w:rPr>
        <w:t xml:space="preserve">(iv) Persons who meet the definition of a "persistent offender" as defined under RCW 9.94A.030;</w:t>
      </w:r>
    </w:p>
    <w:p>
      <w:pPr>
        <w:spacing w:before="0" w:after="0" w:line="408" w:lineRule="exact"/>
        <w:ind w:left="0" w:right="0" w:firstLine="576"/>
        <w:jc w:val="left"/>
      </w:pPr>
      <w:r>
        <w:rPr>
          <w:u w:val="single"/>
        </w:rPr>
        <w:t xml:space="preserve">(v) Level III sex offenders; and</w:t>
      </w:r>
    </w:p>
    <w:p>
      <w:pPr>
        <w:spacing w:before="0" w:after="0" w:line="408" w:lineRule="exact"/>
        <w:ind w:left="0" w:right="0" w:firstLine="576"/>
        <w:jc w:val="left"/>
      </w:pPr>
      <w:r>
        <w:rPr>
          <w:u w:val="single"/>
        </w:rPr>
        <w:t xml:space="preserve">(vi) Persons requiring out-of-state placement.</w:t>
      </w:r>
    </w:p>
    <w:p>
      <w:pPr>
        <w:spacing w:before="0" w:after="0" w:line="408" w:lineRule="exact"/>
        <w:ind w:left="0" w:right="0" w:firstLine="576"/>
        <w:jc w:val="left"/>
      </w:pPr>
      <w:r>
        <w:rPr>
          <w:u w:val="single"/>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of children, youth, and families, or the secretary's designee, shall convene a stakeholder group to develop recommendations regarding improving outcomes for individuals exiting juvenile rehabilitation with a focus on:</w:t>
      </w:r>
    </w:p>
    <w:p>
      <w:pPr>
        <w:spacing w:before="0" w:after="0" w:line="408" w:lineRule="exact"/>
        <w:ind w:left="0" w:right="0" w:firstLine="576"/>
        <w:jc w:val="left"/>
      </w:pPr>
      <w:r>
        <w:rPr/>
        <w:t xml:space="preserve">(a) Increasing community involvement before and after the individual's exit from a juvenile rehabilitation facility;</w:t>
      </w:r>
    </w:p>
    <w:p>
      <w:pPr>
        <w:spacing w:before="0" w:after="0" w:line="408" w:lineRule="exact"/>
        <w:ind w:left="0" w:right="0" w:firstLine="576"/>
        <w:jc w:val="left"/>
      </w:pPr>
      <w:r>
        <w:rPr/>
        <w:t xml:space="preserve">(b) A landscape analysis of community-based, reentry-related services available to individuals exiting a juvenile rehabilitation facility by geographic region and service type;</w:t>
      </w:r>
    </w:p>
    <w:p>
      <w:pPr>
        <w:spacing w:before="0" w:after="0" w:line="408" w:lineRule="exact"/>
        <w:ind w:left="0" w:right="0" w:firstLine="576"/>
        <w:jc w:val="left"/>
      </w:pPr>
      <w:r>
        <w:rPr/>
        <w:t xml:space="preserve">(c) Community-based, reentry-related service gaps that should be addressed to ensure a successful community transition services program across the state.</w:t>
      </w:r>
    </w:p>
    <w:p>
      <w:pPr>
        <w:spacing w:before="0" w:after="0" w:line="408" w:lineRule="exact"/>
        <w:ind w:left="0" w:right="0" w:firstLine="576"/>
        <w:jc w:val="left"/>
      </w:pPr>
      <w:r>
        <w:rPr/>
        <w:t xml:space="preserve">(2) The secretary of the department of children, youth, and families, or the secretary's designee shall include, at a minimum, the following stakeholders in the requirements included in this section:</w:t>
      </w:r>
    </w:p>
    <w:p>
      <w:pPr>
        <w:spacing w:before="0" w:after="0" w:line="408" w:lineRule="exact"/>
        <w:ind w:left="0" w:right="0" w:firstLine="576"/>
        <w:jc w:val="left"/>
      </w:pPr>
      <w:r>
        <w:rPr/>
        <w:t xml:space="preserve">(a) Two individuals who were or are currently confined in a juvenile rehabilitation facility;</w:t>
      </w:r>
    </w:p>
    <w:p>
      <w:pPr>
        <w:spacing w:before="0" w:after="0" w:line="408" w:lineRule="exact"/>
        <w:ind w:left="0" w:right="0" w:firstLine="576"/>
        <w:jc w:val="left"/>
      </w:pPr>
      <w:r>
        <w:rPr/>
        <w:t xml:space="preserve">(b) A family member of an individual who was or is currently confined in a juvenile rehabilitation facility;</w:t>
      </w:r>
    </w:p>
    <w:p>
      <w:pPr>
        <w:spacing w:before="0" w:after="0" w:line="408" w:lineRule="exact"/>
        <w:ind w:left="0" w:right="0" w:firstLine="576"/>
        <w:jc w:val="left"/>
      </w:pPr>
      <w:r>
        <w:rPr/>
        <w:t xml:space="preserve">(c) A representative of the Washington partnership council on juvenile justice;</w:t>
      </w:r>
    </w:p>
    <w:p>
      <w:pPr>
        <w:spacing w:before="0" w:after="0" w:line="408" w:lineRule="exact"/>
        <w:ind w:left="0" w:right="0" w:firstLine="576"/>
        <w:jc w:val="left"/>
      </w:pPr>
      <w:r>
        <w:rPr/>
        <w:t xml:space="preserve">(d) A representative of the Washington association of prosecuting attorneys;</w:t>
      </w:r>
    </w:p>
    <w:p>
      <w:pPr>
        <w:spacing w:before="0" w:after="0" w:line="408" w:lineRule="exact"/>
        <w:ind w:left="0" w:right="0" w:firstLine="576"/>
        <w:jc w:val="left"/>
      </w:pPr>
      <w:r>
        <w:rPr/>
        <w:t xml:space="preserve">(e) A representative of the Washington association of sheriffs and police chiefs;</w:t>
      </w:r>
    </w:p>
    <w:p>
      <w:pPr>
        <w:spacing w:before="0" w:after="0" w:line="408" w:lineRule="exact"/>
        <w:ind w:left="0" w:right="0" w:firstLine="576"/>
        <w:jc w:val="left"/>
      </w:pPr>
      <w:r>
        <w:rPr/>
        <w:t xml:space="preserve">(f) A representative of a statewide organization representing criminal defense attorneys;</w:t>
      </w:r>
    </w:p>
    <w:p>
      <w:pPr>
        <w:spacing w:before="0" w:after="0" w:line="408" w:lineRule="exact"/>
        <w:ind w:left="0" w:right="0" w:firstLine="576"/>
        <w:jc w:val="left"/>
      </w:pPr>
      <w:r>
        <w:rPr/>
        <w:t xml:space="preserve">(g) A representative of a statewide organization representing public defenders;</w:t>
      </w:r>
    </w:p>
    <w:p>
      <w:pPr>
        <w:spacing w:before="0" w:after="0" w:line="408" w:lineRule="exact"/>
        <w:ind w:left="0" w:right="0" w:firstLine="576"/>
        <w:jc w:val="left"/>
      </w:pPr>
      <w:r>
        <w:rPr/>
        <w:t xml:space="preserve">(h) A representative of a statewide organization providing legal services to youth;</w:t>
      </w:r>
    </w:p>
    <w:p>
      <w:pPr>
        <w:spacing w:before="0" w:after="0" w:line="408" w:lineRule="exact"/>
        <w:ind w:left="0" w:right="0" w:firstLine="576"/>
        <w:jc w:val="left"/>
      </w:pPr>
      <w:r>
        <w:rPr/>
        <w:t xml:space="preserve">(i) A representative from the office of the superintendent of public instruction;</w:t>
      </w:r>
    </w:p>
    <w:p>
      <w:pPr>
        <w:spacing w:before="0" w:after="0" w:line="408" w:lineRule="exact"/>
        <w:ind w:left="0" w:right="0" w:firstLine="576"/>
        <w:jc w:val="left"/>
      </w:pPr>
      <w:r>
        <w:rPr/>
        <w:t xml:space="preserve">(j) A representative from the state board for community and technical colleges;</w:t>
      </w:r>
    </w:p>
    <w:p>
      <w:pPr>
        <w:spacing w:before="0" w:after="0" w:line="408" w:lineRule="exact"/>
        <w:ind w:left="0" w:right="0" w:firstLine="576"/>
        <w:jc w:val="left"/>
      </w:pPr>
      <w:r>
        <w:rPr/>
        <w:t xml:space="preserve">(k) A representative from the health care authority;</w:t>
      </w:r>
    </w:p>
    <w:p>
      <w:pPr>
        <w:spacing w:before="0" w:after="0" w:line="408" w:lineRule="exact"/>
        <w:ind w:left="0" w:right="0" w:firstLine="576"/>
        <w:jc w:val="left"/>
      </w:pPr>
      <w:r>
        <w:rPr/>
        <w:t xml:space="preserve">(l) A representative from the Washington student achievement council;</w:t>
      </w:r>
    </w:p>
    <w:p>
      <w:pPr>
        <w:spacing w:before="0" w:after="0" w:line="408" w:lineRule="exact"/>
        <w:ind w:left="0" w:right="0" w:firstLine="576"/>
        <w:jc w:val="left"/>
      </w:pPr>
      <w:r>
        <w:rPr/>
        <w:t xml:space="preserve">(m) A representative from the Washington association of juvenile court administrators; and</w:t>
      </w:r>
    </w:p>
    <w:p>
      <w:pPr>
        <w:spacing w:before="0" w:after="0" w:line="408" w:lineRule="exact"/>
        <w:ind w:left="0" w:right="0" w:firstLine="576"/>
        <w:jc w:val="left"/>
      </w:pPr>
      <w:r>
        <w:rPr/>
        <w:t xml:space="preserve">(n) Two representatives from service providers that assist individuals when exiting from a juvenile rehabilitation facility by providing mentoring or other community involvement opportunities to that individual.</w:t>
      </w:r>
    </w:p>
    <w:p>
      <w:pPr>
        <w:spacing w:before="0" w:after="0" w:line="408" w:lineRule="exact"/>
        <w:ind w:left="0" w:right="0" w:firstLine="576"/>
        <w:jc w:val="left"/>
      </w:pPr>
      <w:r>
        <w:rPr/>
        <w:t xml:space="preserve">(3) The department of children, youth, and families shall provide administrative and staff support to the stakeholder group.</w:t>
      </w:r>
    </w:p>
    <w:p>
      <w:pPr>
        <w:spacing w:before="0" w:after="0" w:line="408" w:lineRule="exact"/>
        <w:ind w:left="0" w:right="0" w:firstLine="576"/>
        <w:jc w:val="left"/>
      </w:pPr>
      <w:r>
        <w:rPr/>
        <w:t xml:space="preserve">(4) Nonlegislative members of the stakeholder group who demonstrate financial hardship must be reimbursed for travel expenses as provided in RCW 43.03.050 and 43.03.060, as well as other expenses as needed for each day a nonlegislative stakeholder group member attends a stakeholder group meeting to provide consultative assistance.</w:t>
      </w:r>
    </w:p>
    <w:p>
      <w:pPr>
        <w:spacing w:before="0" w:after="0" w:line="408" w:lineRule="exact"/>
        <w:ind w:left="0" w:right="0" w:firstLine="576"/>
        <w:jc w:val="left"/>
      </w:pPr>
      <w:r>
        <w:rPr/>
        <w:t xml:space="preserve">(5)(a) By November 1, 2021, and in compliance with RCW 43.01.036, an initial report shall be submitted to the appropriate committees of the legislature and the governor related to improving outcomes for individuals exiting juvenile rehabilitation facilities.</w:t>
      </w:r>
    </w:p>
    <w:p>
      <w:pPr>
        <w:spacing w:before="0" w:after="0" w:line="408" w:lineRule="exact"/>
        <w:ind w:left="0" w:right="0" w:firstLine="576"/>
        <w:jc w:val="left"/>
      </w:pPr>
      <w:r>
        <w:rPr/>
        <w:t xml:space="preserve">(b) By June 1, 2022, the department of children, youth, and families shall submit a report to the appropriate committees of the legislature and the governor that describes recommendations related to improving outcomes for individuals exiting a juvenile rehabilitation facility as provided in this section.</w:t>
      </w:r>
    </w:p>
    <w:p>
      <w:pPr>
        <w:spacing w:before="0" w:after="0" w:line="408" w:lineRule="exact"/>
        <w:ind w:left="0" w:right="0" w:firstLine="576"/>
        <w:jc w:val="left"/>
      </w:pPr>
      <w:r>
        <w:rPr/>
        <w:t xml:space="preserve">(6)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six months after the department of children, youth, and families designs and implements a risk assessment tool as defined in RCW 13.40.020 used to determine eligibility for "community transition services" as provided under RCW 13.40.205(13) and provides notice as required under subsection (2) of this section.</w:t>
      </w:r>
    </w:p>
    <w:p>
      <w:pPr>
        <w:spacing w:before="0" w:after="0" w:line="408" w:lineRule="exact"/>
        <w:ind w:left="0" w:right="0" w:firstLine="576"/>
        <w:jc w:val="left"/>
      </w:pPr>
      <w:r>
        <w:rPr/>
        <w:t xml:space="preserve">(2) The department of children, youth, and families must provide notice of the implementation of a risk assessment tool described under subsection (1) of this section to affected parties, the chief clerk of the house of representatives, the secretary of the senate, the office of the code reviser, and others as deemed appropriate by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1186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04/11/2021</w:t>
      </w:r>
    </w:p>
    <w:p>
      <w:pPr>
        <w:spacing w:before="0" w:after="0" w:line="408" w:lineRule="exact"/>
        <w:ind w:left="0" w:right="0" w:firstLine="576"/>
        <w:jc w:val="left"/>
      </w:pPr>
      <w:r>
        <w:rPr/>
        <w:t xml:space="preserve">On page 1, line 1 of the title, after "rehabilitation;" strike the remainder of the title and insert "amending RCW 72.01.412, 13.40.020, 13.40.205, 13.40.215, 13.40.220, and 13.04.800; creating new sections; providing a contingent effective date; and providing an expiration date."</w:t>
      </w:r>
    </w:p>
    <w:p>
      <w:pPr>
        <w:spacing w:before="0" w:after="0" w:line="408" w:lineRule="exact"/>
        <w:ind w:left="0" w:right="0" w:firstLine="576"/>
        <w:jc w:val="left"/>
      </w:pPr>
      <w:r>
        <w:rPr>
          <w:u w:val="single"/>
        </w:rPr>
        <w:t xml:space="preserve">EFFECT:</w:t>
      </w:r>
      <w:r>
        <w:rPr/>
        <w:t xml:space="preserve"> Retains the current electronic home monitoring requirement for a person in DCYF's custody to be eligible for community transition services after the person's 25th birthday and if the person's earned release date is after the person's 25th birthday, but on or before the person's 26th birthday if DCYF determines the placement is in the best interest of the person and the community. Defines "term of confinement." Ensures the definition of "community transition services" is consistent throughout the RCW. Amends the stakeholder group to be convened and supported by DCYF with the following additional changes: Conducts a landscape analysis of community-based, reentry-related services available to persons exiting a juvenile rehabilitation facility, adds representatives from the Washington Partnership Council on Juvenile Justice, Washington Association of Juvenile Court Administrators, and the Health Care Authority to the stakeholder group, and changes the final report submission date to June 1, 2022. Limits placement in the community transition services to the remaining 18 months of the person's term of confinement.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c610035224fff" /></Relationships>
</file>