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c0667f5374601" /></Relationships>
</file>

<file path=word/document.xml><?xml version="1.0" encoding="utf-8"?>
<w:document xmlns:w="http://schemas.openxmlformats.org/wordprocessingml/2006/main">
  <w:body>
    <w:p>
      <w:r>
        <w:rPr>
          <w:b/>
        </w:rPr>
        <w:r>
          <w:rPr/>
          <w:t xml:space="preserve">1196-S.E</w:t>
        </w:r>
      </w:r>
      <w:r>
        <w:rPr>
          <w:b/>
        </w:rPr>
        <w:t xml:space="preserve"> </w:t>
        <w:t xml:space="preserve">AMS</w:t>
      </w:r>
      <w:r>
        <w:rPr>
          <w:b/>
        </w:rPr>
        <w:t xml:space="preserve"> </w:t>
        <w:r>
          <w:rPr/>
          <w:t xml:space="preserve">WM</w:t>
        </w:r>
      </w:r>
      <w:r>
        <w:rPr>
          <w:b/>
        </w:rPr>
        <w:t xml:space="preserve"> </w:t>
        <w:r>
          <w:rPr/>
          <w:t xml:space="preserve">S2589.1</w:t>
        </w:r>
      </w:r>
      <w:r>
        <w:rPr>
          <w:b/>
        </w:rPr>
        <w:t xml:space="preserve"> - NOT FOR FLOOR USE</w:t>
      </w:r>
    </w:p>
    <w:p>
      <w:pPr>
        <w:ind w:left="0" w:right="0" w:firstLine="576"/>
      </w:pPr>
    </w:p>
    <w:p>
      <w:pPr>
        <w:spacing w:before="480" w:after="0" w:line="408" w:lineRule="exact"/>
      </w:pPr>
      <w:r>
        <w:rPr>
          <w:b/>
          <w:u w:val="single"/>
        </w:rPr>
        <w:t xml:space="preserve">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w:t>
      </w:r>
      <w:r>
        <w:rPr>
          <w:u w:val="single"/>
        </w:rPr>
        <w:t xml:space="preserve">(a)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w:t>
      </w:r>
      <w:r>
        <w:rPr>
          <w:u w:val="single"/>
        </w:rPr>
        <w:t xml:space="preserve">41.05.700(8), 48.43.735(8),</w:t>
      </w:r>
      <w:r>
        <w:rPr/>
        <w:t xml:space="preserve"> 48.49.020 </w:t>
      </w:r>
      <w:r>
        <w:t>((</w:t>
      </w:r>
      <w:r>
        <w:rPr>
          <w:strike/>
        </w:rPr>
        <w:t xml:space="preserve">or</w:t>
      </w:r>
      <w:r>
        <w:t>))</w:t>
      </w:r>
      <w:r>
        <w:rPr>
          <w:u w:val="single"/>
        </w:rPr>
        <w:t xml:space="preserve">,</w:t>
      </w:r>
      <w:r>
        <w:rPr/>
        <w:t xml:space="preserve"> 48.49.030</w:t>
      </w:r>
      <w:r>
        <w:rPr>
          <w:u w:val="single"/>
        </w:rPr>
        <w:t xml:space="preserve">, 71.24.335(8), or 74.09.325(8)</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(f)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w:t>
      </w:r>
      <w:r>
        <w:rPr>
          <w:u w:val="single"/>
        </w:rPr>
        <w:t xml:space="preserve">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u w:val="single"/>
        </w:rPr>
        <w:t xml:space="preserve">(7)</w:t>
      </w:r>
      <w:r>
        <w:rPr/>
        <w:t xml:space="preserve">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alters the requirement for the health care authority to report potential fraud to the medicaid fraud control division of the Washington attorney general's office under 42 C.F.R. 455.21."</w:t>
      </w:r>
    </w:p>
    <w:p>
      <w:pPr>
        <w:spacing w:before="480" w:after="0" w:line="408" w:lineRule="exact"/>
      </w:pPr>
      <w:r>
        <w:rPr>
          <w:b/>
          <w:u w:val="single"/>
        </w:rPr>
        <w:t xml:space="preserve">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04/10/2021</w:t>
      </w:r>
    </w:p>
    <w:p>
      <w:pPr>
        <w:spacing w:before="0" w:after="0" w:line="408" w:lineRule="exact"/>
        <w:ind w:left="0" w:right="0" w:firstLine="576"/>
        <w:jc w:val="left"/>
      </w:pPr>
      <w:r>
        <w:rPr/>
        <w:t xml:space="preserve">On page 1, line 1 of the title, after "telemedicine;" strike the remainder of the title and insert "amending RCW 41.05.700, 48.43.735, 70.41.020, 71.24.335, 74.09.325, 18.130.180, and 28B.20.830; adding a new section to chapter 74.09 RCW; creating new sections; and providing an expiration date."</w:t>
      </w:r>
    </w:p>
    <w:p>
      <w:pPr>
        <w:spacing w:before="0" w:after="0" w:line="408" w:lineRule="exact"/>
        <w:ind w:left="0" w:right="0" w:firstLine="576"/>
        <w:jc w:val="left"/>
      </w:pPr>
      <w:r>
        <w:rPr>
          <w:u w:val="single"/>
        </w:rPr>
        <w:t xml:space="preserve">EFFECT:</w:t>
      </w:r>
      <w:r>
        <w:rPr/>
        <w:t xml:space="preserve"> (1) Directs the telemedicine collaborative to study the need for an established relationship before providing audio-only telemedicine and report to the Legislature by December 1, 2021.</w:t>
      </w:r>
    </w:p>
    <w:p>
      <w:pPr>
        <w:spacing w:before="0" w:after="0" w:line="408" w:lineRule="exact"/>
        <w:ind w:left="0" w:right="0" w:firstLine="576"/>
        <w:jc w:val="left"/>
      </w:pPr>
      <w:r>
        <w:rPr/>
        <w:t xml:space="preserve">(2) Clarifies that medicaid patients will not be billed for audio-only telemedicine visits.</w:t>
      </w:r>
    </w:p>
    <w:p>
      <w:pPr>
        <w:spacing w:before="0" w:after="0" w:line="408" w:lineRule="exact"/>
        <w:ind w:left="0" w:right="0" w:firstLine="576"/>
        <w:jc w:val="left"/>
      </w:pPr>
      <w:r>
        <w:rPr/>
        <w:t xml:space="preserve">(3) Clarifies that this act does not alter the Health Care Authority's responsibility to report potential Medicaid fraud to the Attorney General's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a2e76f57d49c5" /></Relationships>
</file>