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87c17fba84c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12, after "January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implementation date from January 1, 2022, to January 1, 2023 (or later).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d8584fe034c19" /></Relationships>
</file>