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ef62700074805"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S2820.1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755</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Beginning January 1, 2021, whenever a new element is added to the comprehensive plan under RCW 36.70A.070, that element is not subject to appeal or petition for review under this section until the next mandatory comprehensive plan update.</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755</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beginning on line 7, after "36.70A.190," strike "and 36.70A.210" and insert "36.70A.210, and 36.70A.280"</w:t>
      </w:r>
    </w:p>
    <w:p>
      <w:pPr>
        <w:spacing w:before="0" w:after="0" w:line="408" w:lineRule="exact"/>
        <w:ind w:left="0" w:right="0" w:firstLine="576"/>
        <w:jc w:val="left"/>
      </w:pPr>
      <w:r>
        <w:rPr>
          <w:u w:val="single"/>
        </w:rPr>
        <w:t xml:space="preserve">EFFECT:</w:t>
      </w:r>
      <w:r>
        <w:rPr/>
        <w:t xml:space="preserve"> Provides that, beginning January 1, 2021, a new element added to the comprehensive plan is not subject to appeal or petition for review by the Growth Management Hearings Board until the next mandatory comprehensive plan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0c384f5a24d8e" /></Relationships>
</file>