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a4e70564c457c"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WARN</w:t>
        </w:r>
      </w:r>
      <w:r>
        <w:rPr>
          <w:b/>
        </w:rPr>
        <w:t xml:space="preserve"> </w:t>
        <w:r>
          <w:rPr/>
          <w:t xml:space="preserve">S2771.1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756</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wetlands, and riparian areas, but excluding forestland, as that term is defined in RCW 84.33.035, and timberland, as that term is defined in RCW 84.34.020, and agricultural land, as that term is defined in RCW 36.70A.030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756</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30, line 8, after "36.70A.130" insert "and 36.70A.070"</w:t>
      </w:r>
    </w:p>
    <w:p>
      <w:pPr>
        <w:spacing w:before="0" w:after="0" w:line="408" w:lineRule="exact"/>
        <w:ind w:left="0" w:right="0" w:firstLine="576"/>
        <w:jc w:val="left"/>
      </w:pPr>
      <w:r>
        <w:rPr>
          <w:u w:val="single"/>
        </w:rPr>
        <w:t xml:space="preserve">EFFECT:</w:t>
      </w:r>
      <w:r>
        <w:rPr/>
        <w:t xml:space="preserve"> Adds to the rural element protecting existing natural areas, including native forests, grasslands, wetlands, and riparian areas, but excluding forestland, timberland, and agricultural land.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a733f8f164000" /></Relationships>
</file>