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c20987f3d43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"grantee." insert "The award of redistributed funds to an alternative grantee under this subsection (7)(b) must be on a competitive contract basis in accordance with state public contracting bidding laws under chapter 39.04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eviction prevention rental assistance funds awarded by Commerce to an alternative grantee be done on a competitive contract basis in accordance with state public contracting bidding laws.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86b7144b4c8a" /></Relationships>
</file>