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b4d0ed4f24d4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1386.E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S2451.1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1386</w:t>
      </w:r>
      <w:r>
        <w:t xml:space="preserve"> -</w:t>
      </w:r>
      <w:r>
        <w:t xml:space="preserve"> </w:t>
        <w:t xml:space="preserve">S AMD TO WM COMM AMD (S-2165.1/21)</w:t>
      </w:r>
      <w:r>
        <w:t xml:space="preserve"> </w:t>
      </w:r>
      <w:r>
        <w:rPr>
          <w:b/>
        </w:rPr>
        <w:t xml:space="preserve">533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11, after "</w:t>
      </w:r>
      <w:r>
        <w:rPr>
          <w:u w:val="single"/>
        </w:rPr>
        <w:t xml:space="preserve">town</w:t>
      </w:r>
      <w:r>
        <w:rPr/>
        <w:t xml:space="preserve">" strike all material through "</w:t>
      </w:r>
      <w:r>
        <w:rPr>
          <w:u w:val="single"/>
        </w:rPr>
        <w:t xml:space="preserve">450,000</w:t>
      </w:r>
      <w:r>
        <w:rPr/>
        <w:t xml:space="preserve">" on line 12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limit on qualifying cities for the targeted urban area property tax exemption to only those cities located in a county with a population of at least 450,000, and instead allows any city to participate regardless of the county population for which it resides.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b506728ab4c1d" /></Relationships>
</file>