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84fd95e1f4d08" /></Relationships>
</file>

<file path=word/document.xml><?xml version="1.0" encoding="utf-8"?>
<w:document xmlns:w="http://schemas.openxmlformats.org/wordprocessingml/2006/main">
  <w:body>
    <w:p>
      <w:r>
        <w:rPr>
          <w:b/>
        </w:rPr>
        <w:r>
          <w:rPr/>
          <w:t xml:space="preserve">1412-S4.E</w:t>
        </w:r>
      </w:r>
      <w:r>
        <w:rPr>
          <w:b/>
        </w:rPr>
        <w:t xml:space="preserve"> </w:t>
        <w:t xml:space="preserve">AMS</w:t>
      </w:r>
      <w:r>
        <w:rPr>
          <w:b/>
        </w:rPr>
        <w:t xml:space="preserve"> </w:t>
        <w:r>
          <w:rPr/>
          <w:t xml:space="preserve">WM</w:t>
        </w:r>
      </w:r>
      <w:r>
        <w:rPr>
          <w:b/>
        </w:rPr>
        <w:t xml:space="preserve"> </w:t>
        <w:r>
          <w:rPr/>
          <w:t xml:space="preserve">S5122.1</w:t>
        </w:r>
      </w:r>
      <w:r>
        <w:rPr>
          <w:b/>
        </w:rPr>
        <w:t xml:space="preserve"> - NOT FOR FLOOR USE</w:t>
      </w:r>
    </w:p>
    <w:p>
      <w:pPr>
        <w:ind w:left="0" w:right="0" w:firstLine="576"/>
      </w:pPr>
    </w:p>
    <w:p>
      <w:pPr>
        <w:spacing w:before="480" w:after="0" w:line="408" w:lineRule="exact"/>
      </w:pPr>
      <w:r>
        <w:rPr>
          <w:b/>
          <w:u w:val="single"/>
        </w:rPr>
        <w:t xml:space="preserve">E4SHB 1412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80" w:after="0" w:line="408" w:lineRule="exact"/>
      </w:pPr>
      <w:r>
        <w:rPr>
          <w:b/>
          <w:u w:val="single"/>
        </w:rPr>
        <w:t xml:space="preserve">E4SHB 1412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On page 1, line 1 of the title, after "obligations;" strike the remainder of the title and insert "amending RCW 3.66.120, 9.94A.750, 9.94A.753, 9.94A.760, 6.17.020, 9.92.060, 9.95.210, 10.01.160, 10.73.160, 10.64.015, 10.82.090, 9.94A.6333, 9.94B.040, 10.01.180, 3.62.085, 10.01.170, 10.46.190, 9.92.070, 7.68.240, 9.94A.505, and 9.94A.777; reenacting and amending RCW 36.18.020; adding a new section to chapter 10.01 RCW; adding a new section to chapter 3.66 RCW; creating a new section; and providing an effective date."</w:t>
      </w:r>
    </w:p>
    <w:p>
      <w:pPr>
        <w:spacing w:before="0" w:after="0" w:line="408" w:lineRule="exact"/>
        <w:ind w:left="0" w:right="0" w:firstLine="576"/>
        <w:jc w:val="left"/>
      </w:pPr>
      <w:r>
        <w:rPr>
          <w:u w:val="single"/>
        </w:rPr>
        <w:t xml:space="preserve">EFFECT:</w:t>
      </w:r>
      <w:r>
        <w:rPr/>
        <w:t xml:space="preserve"> (1) Corrects statutory references to the definition of "fiscal growth factor."</w:t>
      </w:r>
    </w:p>
    <w:p>
      <w:pPr>
        <w:spacing w:before="0" w:after="0" w:line="408" w:lineRule="exact"/>
        <w:ind w:left="0" w:right="0" w:firstLine="576"/>
        <w:jc w:val="left"/>
      </w:pPr>
      <w:r>
        <w:rPr/>
        <w:t xml:space="preserve">(2) Excepts restitution owed to the Department of Labor and Industries for the Crime Victims Compensation Program from being waived or reduced by a court.</w:t>
      </w:r>
    </w:p>
    <w:p>
      <w:pPr>
        <w:spacing w:before="0" w:after="0" w:line="408" w:lineRule="exact"/>
        <w:ind w:left="0" w:right="0" w:firstLine="576"/>
        <w:jc w:val="left"/>
      </w:pPr>
      <w:r>
        <w:rPr/>
        <w:t xml:space="preserve">(3) Restores provisions eliminating the crime victim penalty assessment and DNA collection fee. Removes provisions creating the crime victims and witness assistance account, providing appropriations to the DNA collection account, and creating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d85d11fab4d06" /></Relationships>
</file>