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13549e8ee4401" /></Relationships>
</file>

<file path=word/document.xml><?xml version="1.0" encoding="utf-8"?>
<w:document xmlns:w="http://schemas.openxmlformats.org/wordprocessingml/2006/main">
  <w:body>
    <w:p>
      <w:r>
        <w:rPr>
          <w:b/>
        </w:rPr>
        <w:r>
          <w:rPr/>
          <w:t xml:space="preserve">1443-S.E</w:t>
        </w:r>
      </w:r>
      <w:r>
        <w:rPr>
          <w:b/>
        </w:rPr>
        <w:t xml:space="preserve"> </w:t>
        <w:t xml:space="preserve">AMS</w:t>
      </w:r>
      <w:r>
        <w:rPr>
          <w:b/>
        </w:rPr>
        <w:t xml:space="preserve"> </w:t>
        <w:r>
          <w:rPr/>
          <w:t xml:space="preserve">LCTA</w:t>
        </w:r>
      </w:r>
      <w:r>
        <w:rPr>
          <w:b/>
        </w:rPr>
        <w:t xml:space="preserve"> </w:t>
        <w:r>
          <w:rPr/>
          <w:t xml:space="preserve">S2159.2</w:t>
        </w:r>
      </w:r>
      <w:r>
        <w:rPr>
          <w:b/>
        </w:rPr>
        <w:t xml:space="preserve"> - NOT FOR FLOOR USE</w:t>
      </w:r>
    </w:p>
    <w:p>
      <w:pPr>
        <w:ind w:left="0" w:right="0" w:firstLine="576"/>
      </w:pPr>
    </w:p>
    <w:p>
      <w:pPr>
        <w:spacing w:before="480" w:after="0" w:line="408" w:lineRule="exact"/>
      </w:pPr>
      <w:r>
        <w:rPr>
          <w:b/>
          <w:u w:val="single"/>
        </w:rPr>
        <w:t xml:space="preserve">ESHB 1443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is established and is to be administered by the department.</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award grants </w:t>
      </w:r>
      <w:r>
        <w:t>((</w:t>
      </w:r>
      <w:r>
        <w:rPr>
          <w:strike/>
        </w:rPr>
        <w:t xml:space="preserve">on a competitive basis to marijuana retailer</w:t>
      </w:r>
      <w:r>
        <w:t>))</w:t>
      </w:r>
      <w:r>
        <w:rPr/>
        <w:t xml:space="preserve"> </w:t>
      </w:r>
      <w:r>
        <w:rPr>
          <w:u w:val="single"/>
        </w:rPr>
        <w:t xml:space="preserve">to:</w:t>
      </w:r>
    </w:p>
    <w:p>
      <w:pPr>
        <w:spacing w:before="0" w:after="0" w:line="408" w:lineRule="exact"/>
        <w:ind w:left="0" w:right="0" w:firstLine="576"/>
        <w:jc w:val="left"/>
      </w:pPr>
      <w:r>
        <w:rPr>
          <w:u w:val="single"/>
        </w:rPr>
        <w:t xml:space="preserve">(i)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(ii) Cannabis licensees holding a license issued after June 30, 2020, and before the effective date of this section who meet the social equity applicant criteria under RCW 69.50.335.</w:t>
      </w:r>
    </w:p>
    <w:p>
      <w:pPr>
        <w:spacing w:before="0" w:after="0" w:line="408" w:lineRule="exact"/>
        <w:ind w:left="0" w:right="0" w:firstLine="576"/>
        <w:jc w:val="left"/>
      </w:pPr>
      <w:r>
        <w:rPr>
          <w:u w:val="single"/>
        </w:rPr>
        <w:t xml:space="preserve">(b) Grant recipients under this subsection (2) must demonstrate completion of their project within 12 months of receiving a grant, unless a grant recipient requests, and the department approves, additional time to complete the project</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issued after June 30, 2020, and before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 retailer</w:t>
      </w:r>
      <w:r>
        <w:t>))</w:t>
      </w:r>
      <w:r>
        <w:rPr/>
        <w:t xml:space="preserve"> </w:t>
      </w:r>
      <w:r>
        <w:rPr>
          <w:u w:val="single"/>
        </w:rPr>
        <w:t xml:space="preserve">cannabis</w:t>
      </w:r>
      <w:r>
        <w:rPr/>
        <w:t xml:space="preserve">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w:t>
      </w:r>
      <w:r>
        <w:t>((</w:t>
      </w:r>
      <w:r>
        <w:rPr>
          <w:strike/>
        </w:rPr>
        <w:t xml:space="preserve">and</w:t>
      </w:r>
      <w:r>
        <w:t>))</w:t>
      </w:r>
    </w:p>
    <w:p>
      <w:pPr>
        <w:spacing w:before="0" w:after="0" w:line="408" w:lineRule="exact"/>
        <w:ind w:left="0" w:right="0" w:firstLine="576"/>
        <w:jc w:val="left"/>
      </w:pPr>
      <w:r>
        <w:rPr/>
        <w:t xml:space="preserve">(e) </w:t>
      </w:r>
      <w:r>
        <w:rPr>
          <w:u w:val="single"/>
        </w:rPr>
        <w:t xml:space="preserve">Strengthening a social equity plan; and</w:t>
      </w:r>
    </w:p>
    <w:p>
      <w:pPr>
        <w:spacing w:before="0" w:after="0" w:line="408" w:lineRule="exact"/>
        <w:ind w:left="0" w:right="0" w:firstLine="576"/>
        <w:jc w:val="left"/>
      </w:pPr>
      <w:r>
        <w:rPr>
          <w:u w:val="single"/>
        </w:rPr>
        <w:t xml:space="preserve">(f)</w:t>
      </w:r>
      <w:r>
        <w:rPr/>
        <w:t xml:space="preserv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w:t>
      </w:r>
      <w:r>
        <w:t>((</w:t>
      </w:r>
      <w:r>
        <w:rPr>
          <w:strike/>
        </w:rPr>
        <w:t xml:space="preserve">approved by the [Washington state liquor and cannabis] board</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u w:val="single"/>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u w:val="single"/>
        </w:rPr>
        <w:t xml:space="preserve">(b) Be a business that is at least 51% minority or woman-owned; and</w:t>
      </w:r>
    </w:p>
    <w:p>
      <w:pPr>
        <w:spacing w:before="0" w:after="0" w:line="408" w:lineRule="exact"/>
        <w:ind w:left="0" w:right="0" w:firstLine="576"/>
        <w:jc w:val="left"/>
      </w:pPr>
      <w:r>
        <w:rPr>
          <w:u w:val="single"/>
        </w:rPr>
        <w:t xml:space="preserve">(c) Meet department reporting and invoicing requirements.</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community members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w:t>
      </w:r>
      <w:r>
        <w:t>((</w:t>
      </w:r>
      <w:r>
        <w:rPr>
          <w:strike/>
        </w:rPr>
        <w:t xml:space="preserve">for at least five of the preceding ten years</w:t>
      </w:r>
      <w:r>
        <w:t>))</w:t>
      </w:r>
      <w:r>
        <w:rPr/>
        <w:t xml:space="preserve"> in a disproportionately impacted area </w:t>
      </w:r>
      <w:r>
        <w:rPr>
          <w:u w:val="single"/>
        </w:rPr>
        <w:t xml:space="preserve">for a period of time defined in rule by the board after consultation with the commission on African American affairs and other commissions, agencies, and community members as determined by the board</w:t>
      </w:r>
      <w:r>
        <w:rPr/>
        <w:t xml:space="preserve">;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community members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w:t>
      </w:r>
      <w:r>
        <w:t>((</w:t>
      </w:r>
      <w:r>
        <w:rPr>
          <w:strike/>
        </w:rPr>
        <w:t xml:space="preserve">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(7)</w:t>
      </w:r>
      <w:r>
        <w:t>))</w:t>
      </w:r>
      <w:r>
        <w:rPr/>
        <w:t xml:space="preserve">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task force is a class one group under chapter 43.03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public comment period must be provided at every meeting of the task force.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December 9,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creating new cannabis license types; and</w:t>
      </w:r>
    </w:p>
    <w:p>
      <w:pPr>
        <w:spacing w:before="0" w:after="0" w:line="408" w:lineRule="exact"/>
        <w:ind w:left="0" w:right="0" w:firstLine="576"/>
        <w:jc w:val="left"/>
      </w:pPr>
      <w:r>
        <w:rPr>
          <w:u w:val="single"/>
        </w:rPr>
        <w:t xml:space="preserve">(h) Recommendations for the cannabis social equity technical assistance grant program created under RCW 43.330.540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(11) For the purposes of this section, "cannabis" has the meaning provided for "marijuana" under this chapter.</w:t>
      </w:r>
    </w:p>
    <w:p>
      <w:pPr>
        <w:spacing w:before="0" w:after="0" w:line="408" w:lineRule="exact"/>
        <w:ind w:left="0" w:right="0" w:firstLine="576"/>
        <w:jc w:val="left"/>
      </w:pPr>
      <w:r>
        <w:rPr>
          <w:u w:val="single"/>
        </w:rPr>
        <w:t xml:space="preserve">(12)</w:t>
      </w:r>
      <w:r>
        <w:rPr/>
        <w:t xml:space="preserve"> This section expires June 30, </w:t>
      </w:r>
      <w:r>
        <w:t>((</w:t>
      </w:r>
      <w:r>
        <w:rPr>
          <w:strike/>
        </w:rPr>
        <w:t xml:space="preserve">2022</w:t>
      </w:r>
      <w:r>
        <w:t>))</w:t>
      </w:r>
      <w:r>
        <w:rPr/>
        <w:t xml:space="preserve"> </w:t>
      </w:r>
      <w:r>
        <w:rPr>
          <w:u w:val="single"/>
        </w:rPr>
        <w:t xml:space="preserve">2023</w:t>
      </w:r>
      <w:r>
        <w:rPr/>
        <w:t xml:space="preserve">."</w:t>
      </w:r>
    </w:p>
    <w:p>
      <w:pPr>
        <w:spacing w:before="480" w:after="0" w:line="408" w:lineRule="exact"/>
      </w:pPr>
      <w:r>
        <w:rPr>
          <w:b/>
          <w:u w:val="single"/>
        </w:rPr>
        <w:t xml:space="preserve">ESHB 1443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04/06/2021</w:t>
      </w:r>
    </w:p>
    <w:p>
      <w:pPr>
        <w:spacing w:before="0" w:after="0" w:line="408" w:lineRule="exact"/>
        <w:ind w:left="0" w:right="0" w:firstLine="576"/>
        <w:jc w:val="left"/>
      </w:pPr>
      <w:r>
        <w:rPr/>
        <w:t xml:space="preserve">On page 1, line 1 of the title, after "industry;" strike the remainder of the title and insert "amending RCW 43.330.540, 69.50.335, and 69.50.336; and providing an expiration date."</w:t>
      </w:r>
    </w:p>
    <w:p>
      <w:pPr>
        <w:spacing w:before="0" w:after="0" w:line="408" w:lineRule="exact"/>
        <w:ind w:left="0" w:right="0" w:firstLine="576"/>
        <w:jc w:val="left"/>
      </w:pPr>
      <w:r>
        <w:rPr>
          <w:u w:val="single"/>
        </w:rPr>
        <w:t xml:space="preserve">EFFECT:</w:t>
      </w:r>
      <w:r>
        <w:rPr/>
        <w:t xml:space="preserve"> Removes the term "competitive" from the cannabis social equity technical assistance grant program (Grant Program). Provides that cannabis licensees holding a license granted after June 30, 2020, and before the effective date of the grant section, who meet the social equity applicant criteria, are eligible for the Grant Program (rather than all cannabis licensees holding a license, who meet the social equity applicant criteria). Adds "strengthening [a cannabis license applicant's and licensee's] social equity plan" to the list of technical assistance activities eligible for funding under the Grant Program. Removes provisions requiring the Department of Commerce (Commerce) to create a technical assistance pilot program, and instead, authorizes Commerce to contract to establish a roster of mentors who are available to support and advise social equity applicants and current licensees who meet the social equity applicant criteria, with specified contractor requirements. Replaces the use of "interested parties" with "community members" when referring to persons the Liquor and Cannabis Board (LCB) must consult with prior to rulemaking. Clarifies that the social equity task force report must include the social equity impact of removing nonviolent cannabis-related felonies and misdemeanors from the existing point system used to determine if a person qualifies for obtaining or renewing a cannabis license. Provides that the social equity task force must provide recommendations for the Grant Program in its reports to the Governor, Legislature, and the LCB. Provides that the task force is no longer required to report on the social equity impact of reducing or ending the funding directed to the Washington state patrol drug enforcement task force and redirecting an equivalent amount to a cannabis social equity program. Extends the date by which the task force must submit its final recommendations from January 10, 2022, to December 9,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e39338b38b4f37" /></Relationships>
</file>