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07c951bc544ed" /></Relationships>
</file>

<file path=word/document.xml><?xml version="1.0" encoding="utf-8"?>
<w:document xmlns:w="http://schemas.openxmlformats.org/wordprocessingml/2006/main">
  <w:body>
    <w:p>
      <w:r>
        <w:rPr>
          <w:b/>
        </w:rPr>
        <w:r>
          <w:rPr/>
          <w:t xml:space="preserve">1453.E</w:t>
        </w:r>
      </w:r>
      <w:r>
        <w:rPr>
          <w:b/>
        </w:rPr>
        <w:t xml:space="preserve"> </w:t>
        <w:t xml:space="preserve">AMS</w:t>
      </w:r>
      <w:r>
        <w:rPr>
          <w:b/>
        </w:rPr>
        <w:t xml:space="preserve"> </w:t>
        <w:r>
          <w:rPr/>
          <w:t xml:space="preserve">SGE</w:t>
        </w:r>
      </w:r>
      <w:r>
        <w:rPr>
          <w:b/>
        </w:rPr>
        <w:t xml:space="preserve"> </w:t>
        <w:r>
          <w:rPr/>
          <w:t xml:space="preserve">S2275.1</w:t>
        </w:r>
      </w:r>
      <w:r>
        <w:rPr>
          <w:b/>
        </w:rPr>
        <w:t xml:space="preserve"> - NOT FOR FLOOR USE</w:t>
      </w:r>
    </w:p>
    <w:p>
      <w:pPr>
        <w:ind w:left="0" w:right="0" w:firstLine="576"/>
      </w:pPr>
      <w:r>
        <w:rPr/>
        <w:t xml:space="preserve"> </w:t>
      </w:r>
    </w:p>
    <w:p>
      <w:pPr>
        <w:spacing w:before="480" w:after="0" w:line="408" w:lineRule="exact"/>
      </w:pPr>
      <w:r>
        <w:rPr>
          <w:b/>
          <w:u w:val="single"/>
        </w:rPr>
        <w:t xml:space="preserve">EHB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 </w:t>
      </w:r>
      <w:r>
        <w:t>((</w:t>
      </w:r>
      <w:r>
        <w:rPr>
          <w:strike/>
        </w:rPr>
        <w:t xml:space="preserve">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ten-year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w:t>
      </w:r>
      <w:r>
        <w:t>))</w:t>
      </w:r>
      <w:r>
        <w:rPr/>
        <w:t xml:space="preserve"> </w:t>
      </w:r>
      <w:r>
        <w:rPr>
          <w:u w:val="single"/>
        </w:rPr>
        <w:t xml:space="preserve">Five</w:t>
      </w:r>
      <w:r>
        <w:rPr/>
        <w:t xml:space="preserve"> dollars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for</w:t>
      </w:r>
      <w:r>
        <w:rPr/>
        <w:t xml:space="preserve"> any office voted upon statewide </w:t>
      </w:r>
      <w:r>
        <w:rPr>
          <w:u w:val="single"/>
        </w:rPr>
        <w:t xml:space="preserve">or any multicounty congressional or multicounty legislative district that</w:t>
      </w:r>
      <w:r>
        <w:rPr/>
        <w:t xml:space="preserve"> appears on the ballot due to a vacancy, </w:t>
      </w:r>
      <w:r>
        <w:t>((</w:t>
      </w:r>
      <w:r>
        <w:rPr>
          <w:strike/>
        </w:rPr>
        <w:t xml:space="preserve">then</w:t>
      </w:r>
      <w:r>
        <w:t>))</w:t>
      </w:r>
      <w:r>
        <w:rPr/>
        <w:t xml:space="preserve">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For each bill enacted since the previous election that increases or decreases state tax revenue deposited in any fund, budget, or account, regardless of whether the revenues are deposited in the general fund by $100,000,000 or more during the first biennium it becomes effective:
(a) A reference to the page for the bill on the official legislative website; and</w:t>
      </w:r>
    </w:p>
    <w:p>
      <w:pPr>
        <w:spacing w:before="0" w:after="0" w:line="408" w:lineRule="exact"/>
        <w:ind w:left="0" w:right="0" w:firstLine="576"/>
        <w:jc w:val="left"/>
      </w:pPr>
      <w:r>
        <w:rPr>
          <w:u w:val="single"/>
        </w:rPr>
        <w:t xml:space="preserve">(b) The fiscal impact statement prepared under section 18 of this act;</w:t>
      </w:r>
    </w:p>
    <w:p>
      <w:pPr>
        <w:spacing w:before="0" w:after="0" w:line="408" w:lineRule="exact"/>
        <w:ind w:left="0" w:right="0" w:firstLine="576"/>
        <w:jc w:val="left"/>
      </w:pPr>
      <w:r>
        <w:rPr>
          <w:u w:val="single"/>
        </w:rPr>
        <w:t xml:space="preserve">(9) A pie chart prepared by the legislative evaluation and accountability program committee showing total budgeted funds for the state operating budget by functional areas of government for the most recent biennium; and</w:t>
      </w:r>
    </w:p>
    <w:p>
      <w:pPr>
        <w:spacing w:before="0" w:after="0" w:line="408" w:lineRule="exact"/>
        <w:ind w:left="0" w:right="0" w:firstLine="576"/>
        <w:jc w:val="left"/>
      </w:pPr>
      <w:r>
        <w:rPr>
          <w:u w:val="single"/>
        </w:rPr>
        <w:t xml:space="preserve">(10)</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w:t>
      </w:r>
      <w:r>
        <w:rPr>
          <w:u w:val="single"/>
        </w:rPr>
        <w:t xml:space="preserve">and</w:t>
      </w:r>
      <w:r>
        <w:rPr/>
        <w:t xml:space="preserve">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w:t>
      </w:r>
      <w:r>
        <w:t>((</w:t>
      </w:r>
      <w:r>
        <w:rPr>
          <w:strike/>
        </w:rPr>
        <w:t xml:space="preserve">,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or edited to delete the matter.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Those about the candidate himself or herself;</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(4) Statements and arguments submitted in support of or opposition to a measure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(5)</w:t>
      </w:r>
      <w:r>
        <w:rPr/>
        <w:t xml:space="preserve"> A candidate's statement submitted for inclusion in the voters' pamphlet shall not contain false or misleading statements about the candidate's opponent. A false or misleading statement shall be considered "libel or defamation per se" if the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ninety days before the publication and distribution of a local voters' pamphlet by a county, the county auditor shall notify each city, town, or special taxing district located </w:t>
      </w:r>
      <w:r>
        <w:t>((</w:t>
      </w:r>
      <w:r>
        <w:rPr>
          <w:strike/>
        </w:rPr>
        <w:t xml:space="preserve">wholly</w:t>
      </w:r>
      <w:r>
        <w:t>))</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per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located </w:t>
      </w:r>
      <w:r>
        <w:t>((</w:t>
      </w:r>
      <w:r>
        <w:rPr>
          <w:strike/>
        </w:rPr>
        <w:t xml:space="preserve">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sixty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rPr/>
        <w:t xml:space="preserve">(4) </w:t>
      </w:r>
      <w:r>
        <w:t>((</w:t>
      </w:r>
      <w:r>
        <w:rPr>
          <w:strike/>
        </w:rPr>
        <w:t xml:space="preserve">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w:t>
      </w:r>
      <w:r>
        <w:t>))</w:t>
      </w:r>
      <w:r>
        <w:rPr/>
        <w:t xml:space="preserve"> A unit of local government located within a county and the county may enter into an interlocal agreement for the publication of a voters' pamphlet for offices or measures not required by subsection (2) of this section to appear in a county's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w:t>
      </w:r>
      <w:r>
        <w:t>((</w:t>
      </w:r>
      <w:r>
        <w:rPr>
          <w:strike/>
        </w:rPr>
        <w:t xml:space="preserve">and publish</w:t>
      </w:r>
      <w:r>
        <w:t>))</w:t>
      </w:r>
      <w:r>
        <w:rPr/>
        <w:t xml:space="preserve">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w:t>
      </w:r>
      <w:r>
        <w:t>))</w:t>
      </w:r>
      <w:r>
        <w:rPr/>
        <w:t xml:space="preserve"> </w:t>
      </w:r>
      <w:r>
        <w:rPr>
          <w:u w:val="single"/>
        </w:rPr>
        <w:t xml:space="preserve">noncompliant with this section or administrative rules adopted in accordance with this section</w:t>
      </w:r>
      <w:r>
        <w:rPr/>
        <w:t xml:space="preserve">. </w:t>
      </w:r>
      <w:r>
        <w:rPr>
          <w:u w:val="single"/>
        </w:rPr>
        <w:t xml:space="preserve">Candidate statements must adhere to the following:</w:t>
      </w:r>
    </w:p>
    <w:p>
      <w:pPr>
        <w:spacing w:before="0" w:after="0" w:line="408" w:lineRule="exact"/>
        <w:ind w:left="0" w:right="0" w:firstLine="576"/>
        <w:jc w:val="left"/>
      </w:pPr>
      <w:r>
        <w:rPr>
          <w:u w:val="single"/>
        </w:rPr>
        <w:t xml:space="preserve">(i)</w:t>
      </w:r>
      <w:r>
        <w:rPr/>
        <w:t xml:space="preserve"> Any statements by a candidate shall be limited to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(A) Those</w:t>
      </w:r>
      <w:r>
        <w:rPr/>
        <w:t xml:space="preserve"> about the candidate himself or herself</w:t>
      </w:r>
      <w:r>
        <w:rPr>
          <w:u w:val="single"/>
        </w:rPr>
        <w:t xml:space="preserve">;</w:t>
      </w:r>
    </w:p>
    <w:p>
      <w:pPr>
        <w:spacing w:before="0" w:after="0" w:line="408" w:lineRule="exact"/>
        <w:ind w:left="0" w:right="0" w:firstLine="576"/>
        <w:jc w:val="left"/>
      </w:pPr>
      <w:r>
        <w:rPr>
          <w:u w:val="single"/>
        </w:rPr>
        <w:t xml:space="preserve">(B) Plans and goals for the future of the jurisdiction;</w:t>
      </w:r>
    </w:p>
    <w:p>
      <w:pPr>
        <w:spacing w:before="0" w:after="0" w:line="408" w:lineRule="exact"/>
        <w:ind w:left="0" w:right="0" w:firstLine="576"/>
        <w:jc w:val="left"/>
      </w:pPr>
      <w:r>
        <w:rPr>
          <w:u w:val="single"/>
        </w:rPr>
        <w:t xml:space="preserve">(C) Directions on where to find more information about the candidate.</w:t>
      </w:r>
    </w:p>
    <w:p>
      <w:pPr>
        <w:spacing w:before="0" w:after="0" w:line="408" w:lineRule="exact"/>
        <w:ind w:left="0" w:right="0" w:firstLine="576"/>
        <w:jc w:val="left"/>
      </w:pPr>
      <w:r>
        <w:rPr>
          <w:u w:val="single"/>
        </w:rPr>
        <w:t xml:space="preserve">(ii)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 </w:t>
      </w:r>
    </w:p>
    <w:p>
      <w:pPr>
        <w:spacing w:before="0" w:after="0" w:line="408" w:lineRule="exact"/>
        <w:ind w:left="0" w:right="0" w:firstLine="576"/>
        <w:jc w:val="left"/>
      </w:pPr>
      <w:r>
        <w:rPr>
          <w:u w:val="single"/>
        </w:rPr>
        <w:t xml:space="preserve">(C) Make obscene or otherwise inappropriate comments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The county auditor shall adopt and publish local administrative rules necessary to facilitate production of a local voters' pamphlet. Any amendment to such a rule shall also be adopted and published.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 and may also include</w:t>
      </w:r>
      <w:r>
        <w:t>))</w:t>
      </w:r>
      <w:r>
        <w:rPr/>
        <w:t xml:space="preserve"> </w:t>
      </w:r>
      <w:r>
        <w:rPr>
          <w:u w:val="single"/>
        </w:rPr>
        <w:t xml:space="preserve">that have been accepted by the county auditor and</w:t>
      </w:r>
      <w:r>
        <w:rPr/>
        <w:t xml:space="preserve"> those candidates'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for all jurisdictions participating in the associated primary or election for which election information is included</w:t>
      </w:r>
      <w:r>
        <w:rPr/>
        <w:t xml:space="preserve"> in the pamphlet</w:t>
      </w:r>
      <w:r>
        <w:rPr>
          <w:u w:val="single"/>
        </w:rPr>
        <w:t xml:space="preserve">, as well as to the ballot mailing address of every service or overseas voter registered in the jurisdiction who has requested a voters' pamphlet</w:t>
      </w:r>
      <w:r>
        <w:rPr/>
        <w:t xml:space="preserve">. The county auditor </w:t>
      </w:r>
      <w:r>
        <w:t>((</w:t>
      </w:r>
      <w:r>
        <w:rPr>
          <w:strike/>
        </w:rPr>
        <w:t xml:space="preserve">or city clerk, as appropriate,</w:t>
      </w:r>
      <w:r>
        <w:t>))</w:t>
      </w:r>
      <w:r>
        <w:rPr/>
        <w:t xml:space="preserve"> may choose to mail the pamphlet to each registered voter in each jurisdiction that has </w:t>
      </w:r>
      <w:r>
        <w:t>((</w:t>
      </w:r>
      <w:r>
        <w:rPr>
          <w:strike/>
        </w:rPr>
        <w:t xml:space="preserve">included information in the pamphlet</w:t>
      </w:r>
      <w:r>
        <w:t>))</w:t>
      </w:r>
      <w:r>
        <w:rPr/>
        <w:t xml:space="preserve"> </w:t>
      </w:r>
      <w:r>
        <w:rPr>
          <w:u w:val="single"/>
        </w:rPr>
        <w:t xml:space="preserve">a primary or election</w:t>
      </w:r>
      <w:r>
        <w:rPr/>
        <w:t xml:space="preserve">, if in his or her judgment, a more economical and effective distribution of the pamphlet would result. </w:t>
      </w:r>
      <w:r>
        <w:rPr>
          <w:u w:val="single"/>
        </w:rPr>
        <w:t xml:space="preserve">A local voters' pamphlet mailed to a service or overseas voter under this section must be accompanied by the state voters' pamphlet, if one has been printed, and must be sent at the same time as the ballot or as soon as practicable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w:t>
      </w:r>
      <w:r>
        <w:rPr>
          <w:u w:val="single"/>
        </w:rPr>
        <w:t xml:space="preserve">that reside within the jurisdictional boundaries</w:t>
      </w:r>
      <w:r>
        <w:rPr/>
        <w:t xml:space="preserve"> known to favor the measure to serve on the committee advocating approval and shall, whenever possible, appoint persons known to oppose the measure to serve on the committee advocating rejection</w:t>
      </w:r>
      <w:r>
        <w:rPr>
          <w:u w:val="single"/>
        </w:rPr>
        <w:t xml:space="preserve">, these committee members must reside within the jurisdictional boundaries</w:t>
      </w:r>
      <w:r>
        <w:rPr/>
        <w:t xml:space="preserve">. Each committee shall have not more than three members, however, a committee may seek the advice of any person or persons.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their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020</w:t>
      </w:r>
      <w:r>
        <w:rPr/>
        <w:t xml:space="preserve"> and 2011 c 10 s 36 are each amended to read as follows:</w:t>
      </w:r>
    </w:p>
    <w:p>
      <w:pPr>
        <w:spacing w:before="0" w:after="0" w:line="408" w:lineRule="exact"/>
        <w:ind w:left="0" w:right="0" w:firstLine="576"/>
        <w:jc w:val="left"/>
      </w:pPr>
      <w:r>
        <w:rPr/>
        <w:t xml:space="preserve">(1) A request for a ballot from an overseas voter or service voter must include the address of the last residence in the state of Washington.</w:t>
      </w:r>
    </w:p>
    <w:p>
      <w:pPr>
        <w:spacing w:before="0" w:after="0" w:line="408" w:lineRule="exact"/>
        <w:ind w:left="0" w:right="0" w:firstLine="576"/>
        <w:jc w:val="left"/>
      </w:pPr>
      <w:r>
        <w:rPr/>
        <w:t xml:space="preserve">(2) </w:t>
      </w:r>
      <w:r>
        <w:rPr>
          <w:u w:val="single"/>
        </w:rPr>
        <w:t xml:space="preserve">An overseas or service voter may also request that the county auditor mail the voter a local voters' pamphlet and a state voters' pamphlet, if such pamphlets have been printed for the election.</w:t>
      </w:r>
    </w:p>
    <w:p>
      <w:pPr>
        <w:spacing w:before="0" w:after="0" w:line="408" w:lineRule="exact"/>
        <w:ind w:left="0" w:right="0" w:firstLine="576"/>
        <w:jc w:val="left"/>
      </w:pPr>
      <w:r>
        <w:rPr>
          <w:u w:val="single"/>
        </w:rPr>
        <w:t xml:space="preserve">(3)</w:t>
      </w:r>
      <w:r>
        <w:rPr/>
        <w:t xml:space="preserve"> No person, organization, or association may distribute any ballot materials that contain a return address other than that of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w:t>
      </w:r>
      <w:r>
        <w:t>))</w:t>
      </w:r>
      <w:r>
        <w:rPr/>
        <w:t xml:space="preserve"> </w:t>
      </w:r>
      <w:r>
        <w:rPr>
          <w:u w:val="single"/>
        </w:rPr>
        <w:t xml:space="preserve">15th</w:t>
      </w:r>
      <w:r>
        <w:rPr/>
        <w:t xml:space="preserve"> day of </w:t>
      </w:r>
      <w:r>
        <w:t>((</w:t>
      </w:r>
      <w:r>
        <w:rPr>
          <w:strike/>
        </w:rPr>
        <w:t xml:space="preserve">August</w:t>
      </w:r>
      <w:r>
        <w:t>))</w:t>
      </w:r>
      <w:r>
        <w:rPr/>
        <w:t xml:space="preserve"> </w:t>
      </w:r>
      <w:r>
        <w:rPr>
          <w:u w:val="single"/>
        </w:rPr>
        <w:t xml:space="preserve">July</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bill enacted under RCW 29A.32.031(8). Fiscal impact statements must be written in clear and concise language, avoid legal and technical terms when possible, and be filed with the secretary of state no later than the 10th day of August.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100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EHB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On page 1, line 1 of the title, after "pamphlets;" strike the remainder of the title and insert "amending RCW 29A.32.010, 29A.32.020, 29A.32.031, 29A.32.060, 29A.32.070, 29A.32.090, 29A.32.110, 29A.32.121, 29A.32.210, 29A.32.220, 29A.32.230, 29A.32.241, 29A.32.250, 29A.32.260, 29A.32.280, 29A.40.020, and 29A.72.025; adding a new section to chapter 29A.32 RCW; and providing an effective date."</w:t>
      </w:r>
    </w:p>
    <w:p>
      <w:pPr>
        <w:spacing w:before="0" w:after="0" w:line="408" w:lineRule="exact"/>
        <w:ind w:left="0" w:right="0" w:firstLine="576"/>
        <w:jc w:val="left"/>
      </w:pPr>
      <w:r>
        <w:rPr>
          <w:u w:val="single"/>
        </w:rPr>
        <w:t xml:space="preserve">EFFECT:</w:t>
      </w:r>
      <w:r>
        <w:rPr/>
        <w:t xml:space="preserve"> (1) Requires mailing state and local voters' pamphlets to service and overseas voters upon request.</w:t>
      </w:r>
    </w:p>
    <w:p>
      <w:pPr>
        <w:spacing w:before="0" w:after="0" w:line="408" w:lineRule="exact"/>
        <w:ind w:left="0" w:right="0" w:firstLine="576"/>
        <w:jc w:val="left"/>
      </w:pPr>
      <w:r>
        <w:rPr/>
        <w:t xml:space="preserve">(2) Removes requirement that legislator names, contact, and voting information appear in the voters' pamphlet for advisory votes.</w:t>
      </w:r>
    </w:p>
    <w:p>
      <w:pPr>
        <w:spacing w:before="0" w:after="0" w:line="408" w:lineRule="exact"/>
        <w:ind w:left="0" w:right="0" w:firstLine="576"/>
        <w:jc w:val="left"/>
      </w:pPr>
      <w:r>
        <w:rPr/>
        <w:t xml:space="preserve">(3) Removes language limiting candidate statements in voters' pamphlets to plans for the jurisdiction and directions on how to find information about the candidate.</w:t>
      </w:r>
    </w:p>
    <w:p>
      <w:pPr>
        <w:spacing w:before="0" w:after="0" w:line="408" w:lineRule="exact"/>
        <w:ind w:left="0" w:right="0" w:firstLine="576"/>
        <w:jc w:val="left"/>
      </w:pPr>
      <w:r>
        <w:rPr/>
        <w:t xml:space="preserve">(4) Requires that a fiscal impact statement appear in the voters' pamphlet for all legislation passed increasing or decreasing state revenues by at least $100 million in the first biennium after taking effect.</w:t>
      </w:r>
    </w:p>
    <w:p>
      <w:pPr>
        <w:spacing w:before="0" w:after="0" w:line="408" w:lineRule="exact"/>
        <w:ind w:left="0" w:right="0" w:firstLine="576"/>
        <w:jc w:val="left"/>
      </w:pPr>
      <w:r>
        <w:rPr/>
        <w:t xml:space="preserve">(5) Requires that a pie chart showing operating budget expenditures for the most recent biennium appear in the voters' pamphlet.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266d994054a72" /></Relationships>
</file>