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8af3b1c3a0447a" /></Relationships>
</file>

<file path=word/document.xml><?xml version="1.0" encoding="utf-8"?>
<w:document xmlns:w="http://schemas.openxmlformats.org/wordprocessingml/2006/main">
  <w:body>
    <w:p>
      <w:r>
        <w:rPr>
          <w:b/>
        </w:rPr>
        <w:r>
          <w:rPr/>
          <w:t xml:space="preserve">1643-S.E</w:t>
        </w:r>
      </w:r>
      <w:r>
        <w:rPr>
          <w:b/>
        </w:rPr>
        <w:t xml:space="preserve"> </w:t>
        <w:t xml:space="preserve">AMS</w:t>
      </w:r>
      <w:r>
        <w:rPr>
          <w:b/>
        </w:rPr>
        <w:t xml:space="preserve"> </w:t>
        <w:r>
          <w:rPr/>
          <w:t xml:space="preserve">WM</w:t>
        </w:r>
      </w:r>
      <w:r>
        <w:rPr>
          <w:b/>
        </w:rPr>
        <w:t xml:space="preserve"> </w:t>
        <w:r>
          <w:rPr/>
          <w:t xml:space="preserve">S5171.1</w:t>
        </w:r>
      </w:r>
      <w:r>
        <w:rPr>
          <w:b/>
        </w:rPr>
        <w:t xml:space="preserve"> - NOT FOR FLOOR USE</w:t>
      </w:r>
    </w:p>
    <w:p>
      <w:pPr>
        <w:ind w:left="0" w:right="0" w:firstLine="576"/>
      </w:pPr>
    </w:p>
    <w:p>
      <w:pPr>
        <w:spacing w:before="480" w:after="0" w:line="408" w:lineRule="exact"/>
      </w:pPr>
      <w:r>
        <w:rPr>
          <w:b/>
          <w:u w:val="single"/>
        </w:rPr>
        <w:t xml:space="preserve">ESHB 1643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one of the strongest economies in the country. However, despite the strong economy, our state has entered an affordable housing crisis where low-income and middle-income households have the fewest number of housing options. Furthermore, it is estimated that Washington state's housing gap is among the most severe in the nation, with only 29 affordable and available rental homes for every 100 extremely low-income households.</w:t>
      </w:r>
    </w:p>
    <w:p>
      <w:pPr>
        <w:spacing w:before="0" w:after="0" w:line="408" w:lineRule="exact"/>
        <w:ind w:left="0" w:right="0" w:firstLine="576"/>
        <w:jc w:val="left"/>
      </w:pPr>
      <w:r>
        <w:rPr/>
        <w:t xml:space="preserve">(2) The legislature concludes that in the spirit of one Washington, the health of all Washingtonians will benefit from a larger stock in affordable housing. Therefore, it is the intent of the legislature to incentivize real property transfers to nonprofit housing providers, public housing authorities, or local governments to increase the availability of affordable housing for low-income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and 4, chapter . . ., Laws of 2022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sales or transfers of real property to nonprofit entities, housing authorities, or public corporations that intend to use the transferred property for housing for low-income persons.</w:t>
      </w:r>
    </w:p>
    <w:p>
      <w:pPr>
        <w:spacing w:before="0" w:after="0" w:line="408" w:lineRule="exact"/>
        <w:ind w:left="0" w:right="0" w:firstLine="576"/>
        <w:jc w:val="left"/>
      </w:pPr>
      <w:r>
        <w:rPr/>
        <w:t xml:space="preserve">(4) If a review finds that the number of sales or transfers of real property to qualified entities has not increased, then the legislature intends to repeal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the transfer or sale of properties reported by county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2019 c 390 s 10, and 2019 c 385 s 2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 </w:t>
      </w:r>
      <w:r>
        <w:t>((</w:t>
      </w:r>
      <w:r>
        <w:rPr>
          <w:strike/>
        </w:rPr>
        <w:t xml:space="preserve">The definitions in section 2 of this act apply to this subsection.</w:t>
      </w:r>
      <w:r>
        <w:t>))</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u w:val="single"/>
        </w:rPr>
        <w:t xml:space="preserve">(v)(i)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(3)(v), "qualifying grantee" means a nonprofit entity as defined in RCW 84.36.560, a nonprofit entity or qualified cooperative association as defined in RCW </w:t>
      </w:r>
      <w:r>
        <w:rPr>
          <w:u w:val="single"/>
        </w:rPr>
        <w:t xml:space="preserve">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(v)(i)(A), (B), or (C) of this subsection and must also certify, by affidavit at the time of sale or transfer, that it intends to comply with those requirements.</w:t>
      </w:r>
    </w:p>
    <w:p>
      <w:pPr>
        <w:spacing w:before="0" w:after="0" w:line="408" w:lineRule="exact"/>
        <w:ind w:left="0" w:right="0" w:firstLine="576"/>
        <w:jc w:val="left"/>
      </w:pPr>
      <w:r>
        <w:rPr>
          <w:u w:val="single"/>
        </w:rPr>
        <w:t xml:space="preserve">(A) If the qualifying grantee intends to operate existing housing on the property, within one year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(B) If the qualifying grantee intends to develop new housing on the site, within five years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(C) If the qualifying grantee intends to substantially rehabilitate the premises as defined in RCW 59.18.200, within three years:</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(ii) If the qualifying grantee fails to satisfy the requirements described in (v)(i)(A), (B), or (C) of this subsection,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satisfies the requirements as described in (v)(i)(A), (B), or (C) of this subsection within the exemption period of the initial transfer. If the new qualifying grantee fails to satisfy the requirements described in (v)(i)(A), (B), or (C) of this subsection, only the new qualifying grantee is liable for the payment of taxes required by (v)(ii) of this subsection. There is no limit on the number of transfers between qualifying grantees within the original timelines.</w:t>
      </w:r>
    </w:p>
    <w:p>
      <w:pPr>
        <w:spacing w:before="0" w:after="0" w:line="408" w:lineRule="exact"/>
        <w:ind w:left="0" w:right="0" w:firstLine="576"/>
        <w:jc w:val="left"/>
      </w:pPr>
      <w:r>
        <w:rPr>
          <w:u w:val="single"/>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(v)(i)(A), (B), or (C) of this subsection have been satisfied.</w:t>
      </w:r>
    </w:p>
    <w:p>
      <w:pPr>
        <w:spacing w:before="0" w:after="0" w:line="408" w:lineRule="exact"/>
        <w:ind w:left="0" w:right="0" w:firstLine="576"/>
        <w:jc w:val="left"/>
      </w:pPr>
      <w:r>
        <w:rPr>
          <w:u w:val="single"/>
        </w:rPr>
        <w:t xml:space="preserve">(v) For the purposes of this subsection (3)(v), "low-income" has the same meaning as in (u)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u w:val="single"/>
        </w:rPr>
        <w:t xml:space="preserve">(u)(i)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(3)(u), "qualifying grantee" means a nonprofit entity as defined in RCW 84.36.560, a nonprofit entity or qualified cooperative association as defined in RCW 84.36.049</w:t>
      </w:r>
      <w:r>
        <w:rPr>
          <w:u w:val="single"/>
        </w:rPr>
        <w:t xml:space="preserve">,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(u)(i)(A), (B), or (C) of this subsection and must also certify, by affidavit at the time of sale or transfer, that it intends to comply with those requirements.</w:t>
      </w:r>
    </w:p>
    <w:p>
      <w:pPr>
        <w:spacing w:before="0" w:after="0" w:line="408" w:lineRule="exact"/>
        <w:ind w:left="0" w:right="0" w:firstLine="576"/>
        <w:jc w:val="left"/>
      </w:pPr>
      <w:r>
        <w:rPr>
          <w:u w:val="single"/>
        </w:rPr>
        <w:t xml:space="preserve">(A) If the qualifying grantee intends to operate existing housing on the property, within one year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(B) If the qualifying grantee intends to develop new housing on the site, within five years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(C) If the qualifying grantee intends to substantially rehabilitate the premises as defined in RCW 59.18.200, within three years:</w:t>
      </w:r>
    </w:p>
    <w:p>
      <w:pPr>
        <w:spacing w:before="0" w:after="0" w:line="408" w:lineRule="exact"/>
        <w:ind w:left="0" w:right="0" w:firstLine="576"/>
        <w:jc w:val="left"/>
      </w:pPr>
      <w:r>
        <w:rPr>
          <w:u w:val="single"/>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(ii) If the qualifying grantee fails to satisfy the requirements described in (u)(i)(A), (B), or (C) of this subsection,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satisfies the requirements as described in (u)(i)(A), (B), or (C) of this subsection within the exemption period of the initial transfer. If the new qualifying grantee fails to satisfy the requirements described in (u)(i)(A), (B), or (C) of this subsection, only the new qualifying grantee is liable for the payment of taxes required by (u)(ii) of this subsection. There is no limit on the number of transfers between qualifying grantees within the original timelines.</w:t>
      </w:r>
    </w:p>
    <w:p>
      <w:pPr>
        <w:spacing w:before="0" w:after="0" w:line="408" w:lineRule="exact"/>
        <w:ind w:left="0" w:right="0" w:firstLine="576"/>
        <w:jc w:val="left"/>
      </w:pPr>
      <w:r>
        <w:rPr>
          <w:u w:val="single"/>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(u)(i)(A), (B), or (C) of this subsection have been satisfied.</w:t>
      </w:r>
    </w:p>
    <w:p>
      <w:pPr>
        <w:spacing w:before="0" w:after="0" w:line="408" w:lineRule="exact"/>
        <w:ind w:left="0" w:right="0" w:firstLine="576"/>
        <w:jc w:val="left"/>
      </w:pPr>
      <w:r>
        <w:rPr>
          <w:u w:val="single"/>
        </w:rPr>
        <w:t xml:space="preserve">(v) For the purposes of this subsection (3)(u), "low-income" means household income as defined by the department, provided that the definition may not exceed 80 percent of median household income, adjusted for household size, for the county in which the dwelling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date provisions of RCW 82.32.805(1)(a) do not apply to the tax preferences in sections 3 and 4, chapter . . ., Laws of 2022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2030."</w:t>
      </w:r>
    </w:p>
    <w:p>
      <w:pPr>
        <w:spacing w:before="480" w:after="0" w:line="408" w:lineRule="exact"/>
      </w:pPr>
      <w:r>
        <w:rPr>
          <w:b/>
          <w:u w:val="single"/>
        </w:rPr>
        <w:t xml:space="preserve">ESHB 1643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03/04/2022</w:t>
      </w:r>
    </w:p>
    <w:p>
      <w:pPr>
        <w:spacing w:before="0" w:after="0" w:line="408" w:lineRule="exact"/>
        <w:ind w:left="0" w:right="0" w:firstLine="576"/>
        <w:jc w:val="left"/>
      </w:pPr>
      <w:r>
        <w:rPr/>
        <w:t xml:space="preserve">On page 1, line 4 of the title, after "tax;" strike the remainder of the title and insert "amending RCW 82.45.010; reenacting and amending RCW 82.45.010; creating new sections; providing effective dates; and providing an expiration date."</w:t>
      </w:r>
    </w:p>
    <w:p>
      <w:pPr>
        <w:spacing w:before="0" w:after="0" w:line="408" w:lineRule="exact"/>
        <w:ind w:left="0" w:right="0" w:firstLine="576"/>
        <w:jc w:val="left"/>
      </w:pPr>
      <w:r>
        <w:rPr>
          <w:u w:val="single"/>
        </w:rPr>
        <w:t xml:space="preserve">EFFECT:</w:t>
      </w:r>
      <w:r>
        <w:rPr/>
        <w:t xml:space="preserve"> Adds a definition of "low-income" to mean a household income not to exceed 80 percent of median household income, adjusted for household size, for the county in which the dwelling is located. Makes a technical change.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057411e7e5480a" /></Relationships>
</file>