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f10350d0da4121" /></Relationships>
</file>

<file path=word/document.xml><?xml version="1.0" encoding="utf-8"?>
<w:document xmlns:w="http://schemas.openxmlformats.org/wordprocessingml/2006/main">
  <w:body>
    <w:p>
      <w:r>
        <w:rPr>
          <w:b/>
        </w:rPr>
        <w:r>
          <w:rPr/>
          <w:t xml:space="preserve">1663-S2.E</w:t>
        </w:r>
      </w:r>
      <w:r>
        <w:rPr>
          <w:b/>
        </w:rPr>
        <w:t xml:space="preserve"> </w:t>
        <w:t xml:space="preserve">AMS</w:t>
      </w:r>
      <w:r>
        <w:rPr>
          <w:b/>
        </w:rPr>
        <w:t xml:space="preserve"> </w:t>
        <w:r>
          <w:rPr/>
          <w:t xml:space="preserve">WM</w:t>
        </w:r>
      </w:r>
      <w:r>
        <w:rPr>
          <w:b/>
        </w:rPr>
        <w:t xml:space="preserve"> </w:t>
        <w:r>
          <w:rPr/>
          <w:t xml:space="preserve">S5144.1</w:t>
        </w:r>
      </w:r>
      <w:r>
        <w:rPr>
          <w:b/>
        </w:rPr>
        <w:t xml:space="preserve"> - NOT FOR FLOOR USE</w:t>
      </w:r>
    </w:p>
    <w:p>
      <w:pPr>
        <w:ind w:left="0" w:right="0" w:firstLine="576"/>
      </w:pPr>
    </w:p>
    <w:p>
      <w:pPr>
        <w:spacing w:before="480" w:after="0" w:line="408" w:lineRule="exact"/>
      </w:pPr>
      <w:r>
        <w:rPr>
          <w:b/>
          <w:u w:val="single"/>
        </w:rPr>
        <w:t xml:space="preserve">E2SHB 1663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1992,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active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either an active municipal solid waste landfill having greater than or equal to 450,000 tons of waste in place or a closed municipal solid waste landfill having greater than or equal to 750,000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If a municipal solid waste landfill partners with a third party to operate all or a portion of the gas collection and control system or energy recovery device, the obligation to comply with the requirements of this chapter are the responsibility of the owner or operator of the relevant portion of the gas collection and control system or energy recovery device.</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December 31,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owner or operator of the energy recovery device or devices must comply with the following requirements:</w:t>
      </w:r>
    </w:p>
    <w:p>
      <w:pPr>
        <w:spacing w:before="0" w:after="0" w:line="408" w:lineRule="exact"/>
        <w:ind w:left="0" w:right="0" w:firstLine="576"/>
        <w:jc w:val="left"/>
      </w:pPr>
      <w:r>
        <w:rPr/>
        <w:t xml:space="preserve">(a) The device or devices must achieve a methane destruction efficiency of at least 97 percent by weight, except for lean-burn internal combustion engines that were installed and operating prior to January 1, 2022, which must reduce the outlet methane concentration to less than 3,000 parts per million by volume, dry basis corrected to 15 percent oxygen;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If a gas collection and control system routes the collected gas to a treatment system that processes the collected gas for subsequent sale or use, the owner or operator of the treatment system must ensure the system achieves a methane leak rate of three percent or less by weight. Venting of processed landfill gas to the ambient air is not allowed. If the processed landfill gas cannot be routed for subsequent sale or use, then the treated landfill gas must be controlled according to subsection (4) of this section.</w:t>
      </w:r>
    </w:p>
    <w:p>
      <w:pPr>
        <w:spacing w:before="0" w:after="0" w:line="408" w:lineRule="exact"/>
        <w:ind w:left="0" w:right="0" w:firstLine="576"/>
        <w:jc w:val="left"/>
      </w:pPr>
      <w:r>
        <w:rPr/>
        <w:t xml:space="preserve">(8) The owner or operator of a municipal solid waste landfill must conduct a source test for any gas control device or devices subject to this section using the test methods identified in section 8 of this act and the department's implementing rules adopted pursuant to section 2 of this act. If a gas control device is currently in compliance with source testing requirements as of the effective date of this section, the owner or operator must conduct the source test no less frequently than once every five years. If a gas control device is currently not in compliance with source testing requirements as of the effective date of this section, or if a subsequent source test shows the gas control device is out of compliance, the owner or operator must conduct the source test no less frequently than once per year until two subsequent consecutive tests both show compliance. Upon two subsequent consecutive compliant tests, the owner or operator may return to conducting the source test no less frequently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and except as provided by the department to accommodate significant technological improvements not to exceed 24 months after the department adopts rules to implement this chapter, no location on a municipal solid waste landfill surface may exceed the following methane concentration limits, dependent upon whether the owner or operator of the municipal solid waste landfills conducts, pursuant to section 6 of this act, instantaneous surface emissions monitoring or integrated surface emissions monitoring:</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or</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Any reading exceeding the limits set forth in subsection (1) of this section must be recorded as an exceedance and the following actions must be taken:</w:t>
      </w:r>
    </w:p>
    <w:p>
      <w:pPr>
        <w:spacing w:before="0" w:after="0" w:line="408" w:lineRule="exact"/>
        <w:ind w:left="0" w:right="0" w:firstLine="576"/>
        <w:jc w:val="left"/>
      </w:pPr>
      <w:r>
        <w:rPr/>
        <w:t xml:space="preserve">(a) The owner or operator must record the date, location, and value of each exceedance, along with retest dates and results. The location of each exceedance must be clearly marked and identified on a topographic map of the municipal solid waste landfill, drawn to scale, with the location of both the monitoring grids and the gas collection system clearly identified; and</w:t>
      </w:r>
    </w:p>
    <w:p>
      <w:pPr>
        <w:spacing w:before="0" w:after="0" w:line="408" w:lineRule="exact"/>
        <w:ind w:left="0" w:right="0" w:firstLine="576"/>
        <w:jc w:val="left"/>
      </w:pPr>
      <w:r>
        <w:rPr/>
        <w:t xml:space="preserve">(b) The owner or operator must take corrective action, which may include, but not be limited to, maintenance or repair of the cover, or well vacuum adjustments. The location or locations of any exceedance must be remonitored within 10 calendar days of a measured exceedance.</w:t>
      </w:r>
    </w:p>
    <w:p>
      <w:pPr>
        <w:spacing w:before="0" w:after="0" w:line="408" w:lineRule="exact"/>
        <w:ind w:left="0" w:right="0" w:firstLine="576"/>
        <w:jc w:val="left"/>
      </w:pPr>
      <w:r>
        <w:rPr/>
        <w:t xml:space="preserve">(3)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or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within 30 days of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either an active municipal solid waste landfill with 450,000 or more tons of waste in place or a closed municipal solid waste landfill with 750,000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an active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 The department shall waive penalties in the event the owner or operator of the landfill is actively taking corrective actions to control any methane exceedances. Penalties collected under this section must be deposited into the air pollution control account created in RCW 70A.15.1010 and may only be used to implement chapter 70A.---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w:t>
      </w:r>
    </w:p>
    <w:p>
      <w:pPr>
        <w:spacing w:before="0" w:after="0" w:line="408" w:lineRule="exact"/>
        <w:ind w:left="0" w:right="0" w:firstLine="576"/>
        <w:jc w:val="left"/>
      </w:pPr>
      <w:r>
        <w:rPr/>
        <w:t xml:space="preserve">(1) Undertake, in consultation with districts that monitor methane, monitoring and measurements of high emission methane hot spots in the state using the best available and cost-effective scientific and technical methods, which may include monitoring and mapping methane emissions using aircraft. The department may consult with federal and state agencies, independent scientific experts, and any other appropriate entities to gather or acquire the necessary information; and</w:t>
      </w:r>
    </w:p>
    <w:p>
      <w:pPr>
        <w:spacing w:before="0" w:after="0" w:line="408" w:lineRule="exact"/>
        <w:ind w:left="0" w:right="0" w:firstLine="576"/>
        <w:jc w:val="left"/>
      </w:pPr>
      <w:r>
        <w:rPr/>
        <w:t xml:space="preserve">(2) Submit a report with the department's findings to the legislature by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18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18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2021 c 315 s 13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12 of this act</w:t>
      </w:r>
      <w:r>
        <w:rPr/>
        <w:t xml:space="preserve"> shall be deposited into the account. Moneys in the account may be spent only after appropriation. Expenditures from the account may be used only to develop and implement the provisions of this chapter, chapter</w:t>
      </w:r>
      <w:r>
        <w:rPr>
          <w:u w:val="single"/>
        </w:rPr>
        <w:t xml:space="preserve">s</w:t>
      </w:r>
      <w:r>
        <w:rPr/>
        <w:t xml:space="preserve"> 70A.25 </w:t>
      </w:r>
      <w:r>
        <w:rPr>
          <w:u w:val="single"/>
        </w:rPr>
        <w:t xml:space="preserve">and 70A.--- (the new chapter created in section 18 of this act)</w:t>
      </w:r>
      <w:r>
        <w:rPr/>
        <w:t xml:space="preserve"> RCW, and RCW 70A.60.060. </w:t>
      </w:r>
      <w:r>
        <w:rPr>
          <w:u w:val="single"/>
        </w:rPr>
        <w:t xml:space="preserve">Moneys collected under section 12 of this act may only be used to implement chapter 70A.--- RCW (the new chapter created in section 18 of this act).</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1663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03/04/2022</w:t>
      </w:r>
    </w:p>
    <w:p>
      <w:pPr>
        <w:spacing w:before="0" w:after="0" w:line="408" w:lineRule="exact"/>
        <w:ind w:left="0" w:right="0" w:firstLine="576"/>
        <w:jc w:val="left"/>
      </w:pPr>
      <w:r>
        <w:rPr/>
        <w:t xml:space="preserve">On page 1, line 1 of the title, after "landfills;" strike the remainder of the title and insert "amending RCW 70A.65.080 and 70A.15.1010; reenacting and amending RCW 70A.15.3160; adding a new chapter to Title 70A RCW; creating a new section; and prescribing penalties."</w:t>
      </w:r>
    </w:p>
    <w:p>
      <w:pPr>
        <w:spacing w:before="0" w:after="0" w:line="408" w:lineRule="exact"/>
        <w:ind w:left="0" w:right="0" w:firstLine="576"/>
        <w:jc w:val="left"/>
      </w:pPr>
      <w:r>
        <w:rPr>
          <w:u w:val="single"/>
        </w:rPr>
        <w:t xml:space="preserve">EFFECT:</w:t>
      </w:r>
      <w:r>
        <w:rPr/>
        <w:t xml:space="preserve"> Requires fines collected under this act to be used only for implementation of the act. Modifies the compliance requirements for lean-burn engines installed prior to January 1, 2022. Allows the Department of Ecology to provide exceptions to the compliance date for landfills that require significant technological improvements to comply with the requirements of this act. Requires the Department of Ecology to conduct a study to identify and measure emissions at methane hot spots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0084cdaf245a9" /></Relationships>
</file>