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b4d4a31de40a0" /></Relationships>
</file>

<file path=word/document.xml><?xml version="1.0" encoding="utf-8"?>
<w:document xmlns:w="http://schemas.openxmlformats.org/wordprocessingml/2006/main">
  <w:body>
    <w:p>
      <w:r>
        <w:rPr>
          <w:b/>
        </w:rPr>
        <w:r>
          <w:rPr/>
          <w:t xml:space="preserve">1773-S</w:t>
        </w:r>
      </w:r>
      <w:r>
        <w:rPr>
          <w:b/>
        </w:rPr>
        <w:t xml:space="preserve"> </w:t>
        <w:t xml:space="preserve">AMS</w:t>
      </w:r>
      <w:r>
        <w:rPr>
          <w:b/>
        </w:rPr>
        <w:t xml:space="preserve"> </w:t>
        <w:r>
          <w:rPr/>
          <w:t xml:space="preserve">ENGR</w:t>
        </w:r>
      </w:r>
      <w:r>
        <w:rPr>
          <w:b/>
        </w:rPr>
        <w:t xml:space="preserve"> </w:t>
        <w:r>
          <w:rPr/>
          <w:t xml:space="preserve">S5138.E</w:t>
        </w:r>
      </w:r>
      <w:r>
        <w:rPr>
          <w:b/>
        </w:rPr>
        <w:t xml:space="preserve"> - NOT FOR FLOOR USE</w:t>
      </w:r>
    </w:p>
    <w:p>
      <w:pPr>
        <w:ind w:left="0" w:right="0" w:firstLine="576"/>
      </w:pPr>
    </w:p>
    <w:p>
      <w:pPr>
        <w:spacing w:before="480" w:after="0" w:line="408" w:lineRule="exact"/>
      </w:pPr>
      <w:r>
        <w:rPr>
          <w:b/>
          <w:u w:val="single"/>
        </w:rPr>
        <w:t xml:space="preserve">SHB 1773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that has:</w:t>
      </w:r>
    </w:p>
    <w:p>
      <w:pPr>
        <w:spacing w:before="0" w:after="0" w:line="408" w:lineRule="exact"/>
        <w:ind w:left="0" w:right="0" w:firstLine="576"/>
        <w:jc w:val="left"/>
      </w:pPr>
      <w:r>
        <w:rPr>
          <w:u w:val="single"/>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u w:val="single"/>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u w:val="single"/>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u w:val="single"/>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(e)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 or the director's designee;</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t>
      </w:r>
      <w:r>
        <w:t>((</w:t>
      </w:r>
      <w:r>
        <w:rPr>
          <w:strike/>
        </w:rPr>
        <w:t xml:space="preserve">which agreed</w:t>
      </w:r>
      <w:r>
        <w:t>))</w:t>
      </w:r>
      <w:r>
        <w:rPr/>
        <w:t xml:space="preserve"> </w:t>
      </w:r>
      <w:r>
        <w:rPr>
          <w:u w:val="single"/>
        </w:rPr>
        <w:t xml:space="preserve">that 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 The petition must be served upon the person and the person's counsel with a notice of applicable rights. Proof of service must be filed with the court.</w:t>
      </w:r>
      <w:r>
        <w:t>))</w:t>
      </w:r>
    </w:p>
    <w:p>
      <w:pPr>
        <w:spacing w:before="0" w:after="0" w:line="408" w:lineRule="exact"/>
        <w:ind w:left="0" w:right="0" w:firstLine="576"/>
        <w:jc w:val="left"/>
      </w:pPr>
      <w:r>
        <w:rPr>
          <w:u w:val="single"/>
        </w:rPr>
        <w:t xml:space="preserve">(6)(a) Upon receipt of a petition meeting all requirements of this section, the court shall fix a date for a hearing:</w:t>
      </w:r>
    </w:p>
    <w:p>
      <w:pPr>
        <w:spacing w:before="0" w:after="0" w:line="408" w:lineRule="exact"/>
        <w:ind w:left="0" w:right="0" w:firstLine="576"/>
        <w:jc w:val="left"/>
      </w:pPr>
      <w:r>
        <w:rPr>
          <w:u w:val="single"/>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u w:val="single"/>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u w:val="single"/>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u w:val="single"/>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u w:val="single"/>
        </w:rPr>
        <w:t xml:space="preserve">(d) The respondent shall be represented by counsel at all stages of the proceedings.</w:t>
      </w:r>
    </w:p>
    <w:p>
      <w:pPr>
        <w:spacing w:before="0" w:after="0" w:line="408" w:lineRule="exact"/>
        <w:ind w:left="0" w:right="0" w:firstLine="576"/>
        <w:jc w:val="left"/>
      </w:pPr>
      <w:r>
        <w:rPr>
          <w:u w:val="single"/>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u w:val="single"/>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u w:val="single"/>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u w:val="single"/>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0" w:after="0" w:line="408" w:lineRule="exact"/>
        <w:ind w:left="0" w:right="0" w:firstLine="576"/>
        <w:jc w:val="left"/>
      </w:pPr>
      <w:r>
        <w:rPr>
          <w:u w:val="single"/>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correctional facility or local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t>
      </w:r>
      <w:r>
        <w:t>((</w:t>
      </w:r>
      <w:r>
        <w:rPr>
          <w:strike/>
        </w:rPr>
        <w:t xml:space="preserve">written order for apprehension</w:t>
      </w:r>
      <w:r>
        <w:t>))</w:t>
      </w:r>
      <w:r>
        <w:rPr/>
        <w:t xml:space="preserve"> </w:t>
      </w:r>
      <w:r>
        <w:rPr>
          <w:u w:val="single"/>
        </w:rPr>
        <w:t xml:space="preserve">warrant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t>
      </w:r>
      <w:r>
        <w:t>((</w:t>
      </w:r>
      <w:r>
        <w:rPr>
          <w:strike/>
        </w:rPr>
        <w:t xml:space="preserve">written order</w:t>
      </w:r>
      <w:r>
        <w:t>))</w:t>
      </w:r>
      <w:r>
        <w:rPr/>
        <w:t xml:space="preserve"> </w:t>
      </w:r>
      <w:r>
        <w:rPr>
          <w:u w:val="single"/>
        </w:rPr>
        <w:t xml:space="preserve">warrant</w:t>
      </w:r>
      <w:r>
        <w:rPr/>
        <w:t xml:space="preserve">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w:t>
      </w:r>
      <w:r>
        <w:t>((</w:t>
      </w:r>
      <w:r>
        <w:rPr>
          <w:strike/>
        </w:rPr>
        <w:t xml:space="preserve">ninety</w:t>
      </w:r>
      <w:r>
        <w:t>))</w:t>
      </w:r>
      <w:r>
        <w:rPr/>
        <w:t xml:space="preserve"> </w:t>
      </w:r>
      <w:r>
        <w:rPr>
          <w:u w:val="single"/>
        </w:rPr>
        <w:t xml:space="preserve">90</w:t>
      </w:r>
      <w:r>
        <w:rPr/>
        <w:t xml:space="preserve"> days of less restrictive alternative treatment or </w:t>
      </w:r>
      <w:r>
        <w:t>((</w:t>
      </w:r>
      <w:r>
        <w:rPr>
          <w:strike/>
        </w:rPr>
        <w:t xml:space="preserve">ninety</w:t>
      </w:r>
      <w:r>
        <w:t>))</w:t>
      </w:r>
      <w:r>
        <w:rPr/>
        <w:t xml:space="preserve"> </w:t>
      </w:r>
      <w:r>
        <w:rPr>
          <w:u w:val="single"/>
        </w:rPr>
        <w:t xml:space="preserve">90</w:t>
      </w:r>
      <w:r>
        <w:rPr/>
        <w:t xml:space="preserve">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2020 c 302 s 42 are each amended to read as follows:</w:t>
      </w:r>
    </w:p>
    <w:p>
      <w:pPr>
        <w:spacing w:before="0" w:after="0" w:line="408" w:lineRule="exact"/>
        <w:ind w:left="0" w:right="0" w:firstLine="576"/>
        <w:jc w:val="left"/>
      </w:pPr>
      <w:r>
        <w:rPr/>
        <w:t xml:space="preserve">(1) At any time during a person's </w:t>
      </w:r>
      <w:r>
        <w:t>((</w:t>
      </w:r>
      <w:r>
        <w:rPr>
          <w:strike/>
        </w:rPr>
        <w:t xml:space="preserve">fourteen</w:t>
      </w:r>
      <w:r>
        <w:t>))</w:t>
      </w:r>
      <w:r>
        <w:rPr/>
        <w:t xml:space="preserve"> </w:t>
      </w:r>
      <w:r>
        <w:rPr>
          <w:u w:val="single"/>
        </w:rPr>
        <w:t xml:space="preserve">14-</w:t>
      </w:r>
      <w:r>
        <w:rPr/>
        <w:t xml:space="preserve">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w:t>
      </w:r>
      <w:r>
        <w:t>((</w:t>
      </w:r>
      <w:r>
        <w:rPr>
          <w:strike/>
        </w:rPr>
        <w:t xml:space="preserve">one hundred eighty-day</w:t>
      </w:r>
      <w:r>
        <w:t>))</w:t>
      </w:r>
      <w:r>
        <w:rPr/>
        <w:t xml:space="preserve"> </w:t>
      </w:r>
      <w:r>
        <w:rPr>
          <w:u w:val="single"/>
        </w:rPr>
        <w:t xml:space="preserve">180-day</w:t>
      </w:r>
      <w:r>
        <w:rPr/>
        <w:t xml:space="preserve"> treatment under RCW 71.05.280(3), or for </w:t>
      </w:r>
      <w:r>
        <w:t>((</w:t>
      </w:r>
      <w:r>
        <w:rPr>
          <w:strike/>
        </w:rPr>
        <w:t xml:space="preserve">ninety-day</w:t>
      </w:r>
      <w:r>
        <w:t>))</w:t>
      </w:r>
      <w:r>
        <w:rPr/>
        <w:t xml:space="preserve"> </w:t>
      </w:r>
      <w:r>
        <w:rPr>
          <w:u w:val="single"/>
        </w:rPr>
        <w:t xml:space="preserve">90-day</w:t>
      </w:r>
      <w:r>
        <w:rPr/>
        <w:t xml:space="preserve"> treatment under RCW 71.05.280 (1), (2), </w:t>
      </w:r>
      <w:r>
        <w:rPr>
          <w:u w:val="single"/>
        </w:rPr>
        <w:t xml:space="preserve">or</w:t>
      </w:r>
      <w:r>
        <w:rPr/>
        <w:t xml:space="preserve"> (4)</w:t>
      </w:r>
      <w:r>
        <w:t>((</w:t>
      </w:r>
      <w:r>
        <w:rPr>
          <w:strike/>
        </w:rPr>
        <w:t xml:space="preserve">, or (5)</w:t>
      </w:r>
      <w:r>
        <w:t>))</w:t>
      </w:r>
      <w:r>
        <w:rPr/>
        <w:t xml:space="preserve">. No petition for initial detention or </w:t>
      </w:r>
      <w:r>
        <w:t>((</w:t>
      </w:r>
      <w:r>
        <w:rPr>
          <w:strike/>
        </w:rPr>
        <w:t xml:space="preserve">fourteen</w:t>
      </w:r>
      <w:r>
        <w:t>))</w:t>
      </w:r>
      <w:r>
        <w:rPr/>
        <w:t xml:space="preserve"> </w:t>
      </w:r>
      <w:r>
        <w:rPr>
          <w:u w:val="single"/>
        </w:rPr>
        <w:t xml:space="preserve">14-</w:t>
      </w:r>
      <w:r>
        <w:rPr/>
        <w:t xml:space="preserve">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2021 c 287 s 21 and 2021 c 264 s 16 are each reenacted and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administrative office of the courts, in collaboration with stakeholders, shall: (1) Develop a court form or forms for the filing of a petition under RCW 71.05.148 and section 4 of this act; and (2) develop and publish on its website a user's guide to assist litigants in the preparation and filing of a petition under RCW 71.05.148 or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2021 c 263 s 15 are each amended to read as follows:</w:t>
      </w:r>
    </w:p>
    <w:p>
      <w:pPr>
        <w:spacing w:before="0" w:after="0" w:line="408" w:lineRule="exact"/>
        <w:ind w:left="0" w:right="0" w:firstLine="576"/>
        <w:jc w:val="left"/>
      </w:pPr>
      <w:r>
        <w:rPr/>
        <w:t xml:space="preserve">(1)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t xml:space="preserve">(2) The clerk of the court must share </w:t>
      </w:r>
      <w:r>
        <w:rPr>
          <w:u w:val="single"/>
        </w:rPr>
        <w:t xml:space="preserve">commitment</w:t>
      </w:r>
      <w:r>
        <w:rPr/>
        <w:t xml:space="preserv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31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17, and 23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18, and 24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SHB 1773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3/3/2022</w:t>
      </w:r>
    </w:p>
    <w:p>
      <w:pPr>
        <w:spacing w:before="0" w:after="0" w:line="408" w:lineRule="exact"/>
        <w:ind w:left="0" w:right="0" w:firstLine="576"/>
        <w:jc w:val="left"/>
      </w:pPr>
      <w:r>
        <w:rPr/>
        <w:t xml:space="preserve">On page 1, line 2 of the title, after "disorders;" strike the remainder of the title and insert "amending RCW 71.05.148, 71.05.150, 71.05.150, 71.05.156, 71.05.212, 71.05.230, 71.05.240, 71.05.240, 71.05.245, 71.05.280, 71.05.290, 71.05.365, 71.05.585, 10.77.175, 71.05.590, 71.05.590, 71.05.595, 71.24.045, and 71.05.740; reenacting and amending RCW 71.05.020, 71.05.020, 71.05.201, 71.05.212, 71.05.320, 71.05.320, 71.34.755, and 71.24.045; reenacting and amending 2021 c 264 s 24 and 2021 c 263 s 21 (uncodified); adding a new section to chapter 71.34 RCW; creating new sections; providing effective dates; providing a contingent effective date;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af7df94ec404d" /></Relationships>
</file>