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0400948114b4d" /></Relationships>
</file>

<file path=word/document.xml><?xml version="1.0" encoding="utf-8"?>
<w:document xmlns:w="http://schemas.openxmlformats.org/wordprocessingml/2006/main">
  <w:body>
    <w:p>
      <w:r>
        <w:rPr>
          <w:b/>
        </w:rPr>
        <w:r>
          <w:rPr/>
          <w:t xml:space="preserve">1789-S</w:t>
        </w:r>
      </w:r>
      <w:r>
        <w:rPr>
          <w:b/>
        </w:rPr>
        <w:t xml:space="preserve"> </w:t>
        <w:t xml:space="preserve">AMS</w:t>
      </w:r>
      <w:r>
        <w:rPr>
          <w:b/>
        </w:rPr>
        <w:t xml:space="preserve"> </w:t>
        <w:r>
          <w:rPr/>
          <w:t xml:space="preserve">HASE</w:t>
        </w:r>
      </w:r>
      <w:r>
        <w:rPr>
          <w:b/>
        </w:rPr>
        <w:t xml:space="preserve"> </w:t>
        <w:r>
          <w:rPr/>
          <w:t xml:space="preserve">S5213.2</w:t>
        </w:r>
      </w:r>
      <w:r>
        <w:rPr>
          <w:b/>
        </w:rPr>
        <w:t xml:space="preserve"> - NOT FOR FLOOR USE</w:t>
      </w:r>
    </w:p>
    <w:p>
      <w:pPr>
        <w:ind w:left="0" w:right="0" w:firstLine="576"/>
      </w:pPr>
    </w:p>
    <w:p>
      <w:pPr>
        <w:spacing w:before="480" w:after="0" w:line="408" w:lineRule="exact"/>
      </w:pPr>
      <w:r>
        <w:rPr>
          <w:b/>
          <w:u w:val="single"/>
        </w:rPr>
        <w:t xml:space="preserve">SHB 1789</w:t>
      </w:r>
      <w:r>
        <w:t xml:space="preserve"> -</w:t>
      </w:r>
      <w:r>
        <w:t xml:space="preserve"> </w:t>
        <w:t xml:space="preserve">S AMD</w:t>
      </w:r>
      <w:r>
        <w:t xml:space="preserve"> </w:t>
      </w:r>
      <w:r>
        <w:rPr>
          <w:b/>
        </w:rPr>
        <w:t xml:space="preserve">1476</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4, beginning on line 33,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This section is the tax preference performance statement for the tax preferences contained in sections 1 and 2, chapter . . ., Laws of 2022 (sections 1 and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provide tax relief for certain businesses or individuals, as indicated in RCW 82.32.808(2) (a) and (e).</w:t>
      </w:r>
    </w:p>
    <w:p>
      <w:pPr>
        <w:spacing w:before="0" w:after="0" w:line="408" w:lineRule="exact"/>
        <w:ind w:left="0" w:right="0" w:firstLine="576"/>
        <w:jc w:val="left"/>
      </w:pPr>
      <w:r>
        <w:rPr/>
        <w:t xml:space="preserve">(3) It is the legislature's specific public policy objective to increase affordable housing, including the availability of adult family homes, by using financial relief for organizations that provide adult family housing services as a tool to achieve that objective.</w:t>
      </w:r>
    </w:p>
    <w:p>
      <w:pPr>
        <w:spacing w:before="0" w:after="0" w:line="408" w:lineRule="exact"/>
        <w:ind w:left="0" w:right="0" w:firstLine="576"/>
        <w:jc w:val="left"/>
      </w:pPr>
      <w:r>
        <w:rPr/>
        <w:t xml:space="preserve">(4) If a review finds that the statewide amount of eligible units in adult family homes has increased and the number of low-income persons placed in such units has also increased by a similar amount as a result of this act,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u w:val="single"/>
        </w:rPr>
        <w:t xml:space="preserve">EFFECT:</w:t>
      </w:r>
      <w:r>
        <w:rPr/>
        <w:t xml:space="preserve"> Makes the act subject to tax preference performance review and automatic expiration.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d4342d4a945d2" /></Relationships>
</file>